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56B8" w14:textId="45F6F0CB" w:rsidR="004856BE" w:rsidRPr="00ED6B47" w:rsidRDefault="004856BE" w:rsidP="004E4B70">
      <w:pPr>
        <w:jc w:val="center"/>
        <w:rPr>
          <w:rFonts w:eastAsia="Cambria"/>
          <w:b/>
          <w:bCs/>
          <w:szCs w:val="24"/>
          <w:lang w:val="en-GB"/>
        </w:rPr>
      </w:pPr>
      <w:r w:rsidRPr="00ED6B47">
        <w:rPr>
          <w:rFonts w:eastAsia="Calibri"/>
          <w:b/>
          <w:bCs/>
          <w:color w:val="000000" w:themeColor="text1"/>
          <w:kern w:val="24"/>
          <w:szCs w:val="24"/>
        </w:rPr>
        <w:t>The politics of academic text production: language, locality, knowledge</w:t>
      </w:r>
    </w:p>
    <w:p w14:paraId="2962639B" w14:textId="77777777" w:rsidR="004856BE" w:rsidRPr="00ED6B47" w:rsidRDefault="004856BE" w:rsidP="004E4B70">
      <w:pPr>
        <w:jc w:val="center"/>
        <w:rPr>
          <w:rFonts w:eastAsia="Cambria"/>
          <w:szCs w:val="24"/>
          <w:lang w:val="en-GB"/>
        </w:rPr>
      </w:pPr>
    </w:p>
    <w:p w14:paraId="1CBD6A24" w14:textId="1386E2B8" w:rsidR="008939C5" w:rsidRPr="00ED6B47" w:rsidRDefault="004E4B70" w:rsidP="008939C5">
      <w:pPr>
        <w:jc w:val="center"/>
        <w:rPr>
          <w:rFonts w:eastAsia="Cambria"/>
          <w:szCs w:val="24"/>
          <w:lang w:val="en-GB"/>
        </w:rPr>
      </w:pPr>
      <w:r w:rsidRPr="00ED6B47">
        <w:rPr>
          <w:rFonts w:eastAsia="Cambria"/>
          <w:szCs w:val="24"/>
          <w:lang w:val="en-GB"/>
        </w:rPr>
        <w:t>Mary Jane Curry</w:t>
      </w:r>
      <w:r w:rsidR="00147B2A" w:rsidRPr="00ED6B47">
        <w:rPr>
          <w:rFonts w:eastAsia="Cambria"/>
          <w:szCs w:val="24"/>
          <w:lang w:val="en-GB"/>
        </w:rPr>
        <w:t>, University of Rochester, US</w:t>
      </w:r>
      <w:r w:rsidR="00CA0AA2">
        <w:rPr>
          <w:rFonts w:eastAsia="Cambria"/>
          <w:szCs w:val="24"/>
          <w:lang w:val="en-GB"/>
        </w:rPr>
        <w:t xml:space="preserve"> (and Theresa Lillis, the Open University, UK)</w:t>
      </w:r>
    </w:p>
    <w:p w14:paraId="1C0A4DF8" w14:textId="2B140878" w:rsidR="00A22DAB" w:rsidRPr="00A22DAB" w:rsidRDefault="00070C56" w:rsidP="00A22DAB">
      <w:pPr>
        <w:rPr>
          <w:szCs w:val="24"/>
        </w:rPr>
      </w:pPr>
      <w:r>
        <w:rPr>
          <w:rFonts w:eastAsia="Cambria"/>
          <w:szCs w:val="24"/>
          <w:lang w:val="en-GB"/>
        </w:rPr>
        <w:t xml:space="preserve">Scholarly Communications Research Group, </w:t>
      </w:r>
      <w:r w:rsidR="00A22DAB" w:rsidRPr="00A22DAB">
        <w:rPr>
          <w:szCs w:val="24"/>
        </w:rPr>
        <w:t>Adam Mickiewicz University</w:t>
      </w:r>
      <w:r w:rsidR="00A22DAB">
        <w:rPr>
          <w:szCs w:val="24"/>
        </w:rPr>
        <w:t xml:space="preserve">, </w:t>
      </w:r>
      <w:proofErr w:type="spellStart"/>
      <w:r w:rsidR="00A22DAB" w:rsidRPr="00A22DAB">
        <w:rPr>
          <w:szCs w:val="24"/>
        </w:rPr>
        <w:t>Poznań</w:t>
      </w:r>
      <w:proofErr w:type="spellEnd"/>
      <w:r w:rsidR="00A22DAB" w:rsidRPr="00A22DAB">
        <w:rPr>
          <w:szCs w:val="24"/>
        </w:rPr>
        <w:t>, Poland</w:t>
      </w:r>
    </w:p>
    <w:p w14:paraId="182F7C91" w14:textId="2130360F" w:rsidR="00AE205B" w:rsidRPr="00ED6B47" w:rsidRDefault="00070C56" w:rsidP="008939C5">
      <w:pPr>
        <w:jc w:val="center"/>
        <w:rPr>
          <w:rFonts w:eastAsia="Cambria"/>
          <w:szCs w:val="24"/>
          <w:lang w:val="en-GB"/>
        </w:rPr>
      </w:pPr>
      <w:r>
        <w:rPr>
          <w:rFonts w:eastAsia="Cambria"/>
          <w:szCs w:val="24"/>
          <w:lang w:val="en-GB"/>
        </w:rPr>
        <w:t>January 11, 2022</w:t>
      </w:r>
    </w:p>
    <w:p w14:paraId="503FC8E7" w14:textId="77777777" w:rsidR="00AE205B" w:rsidRPr="00ED6B47" w:rsidRDefault="00AE205B" w:rsidP="008939C5">
      <w:pPr>
        <w:rPr>
          <w:rFonts w:eastAsia="Cambria"/>
          <w:szCs w:val="24"/>
          <w:lang w:val="en-GB"/>
        </w:rPr>
      </w:pPr>
    </w:p>
    <w:p w14:paraId="31B70134" w14:textId="0ADA58E3" w:rsidR="008939C5" w:rsidRPr="00ED6B47" w:rsidRDefault="008939C5" w:rsidP="008939C5">
      <w:pPr>
        <w:rPr>
          <w:rFonts w:eastAsia="Cambria"/>
          <w:szCs w:val="24"/>
          <w:lang w:val="en-GB"/>
        </w:rPr>
      </w:pPr>
      <w:r w:rsidRPr="00ED6B47">
        <w:rPr>
          <w:rFonts w:eastAsia="Cambria"/>
          <w:szCs w:val="24"/>
          <w:lang w:val="en-GB"/>
        </w:rPr>
        <w:t>Research questions</w:t>
      </w:r>
      <w:r w:rsidR="008431F4">
        <w:rPr>
          <w:rFonts w:eastAsia="Cambria"/>
          <w:szCs w:val="24"/>
          <w:lang w:val="en-GB"/>
        </w:rPr>
        <w:t xml:space="preserve"> for this paper/analysis</w:t>
      </w:r>
      <w:r w:rsidRPr="00ED6B47">
        <w:rPr>
          <w:rFonts w:eastAsia="Cambria"/>
          <w:szCs w:val="24"/>
          <w:lang w:val="en-GB"/>
        </w:rPr>
        <w:t>:</w:t>
      </w:r>
    </w:p>
    <w:p w14:paraId="68ED3906" w14:textId="77777777" w:rsidR="008939C5" w:rsidRPr="00A22DAB" w:rsidRDefault="008939C5" w:rsidP="008939C5">
      <w:pPr>
        <w:pStyle w:val="ListParagraph"/>
        <w:numPr>
          <w:ilvl w:val="0"/>
          <w:numId w:val="7"/>
        </w:numPr>
        <w:rPr>
          <w:rFonts w:eastAsia="Cambria"/>
          <w:szCs w:val="24"/>
          <w:lang w:val="en-GB"/>
        </w:rPr>
      </w:pPr>
      <w:r w:rsidRPr="00A22DAB">
        <w:rPr>
          <w:rFonts w:eastAsiaTheme="minorEastAsia"/>
          <w:color w:val="000000" w:themeColor="text1"/>
          <w:kern w:val="24"/>
          <w:szCs w:val="24"/>
          <w:lang w:val="en-GB" w:eastAsia="en-GB"/>
        </w:rPr>
        <w:t xml:space="preserve">How do reviewers orient to English and language when reviewing papers submitted for publication? </w:t>
      </w:r>
    </w:p>
    <w:p w14:paraId="745EAE90" w14:textId="1F06F4E2" w:rsidR="008939C5" w:rsidRPr="00A22DAB" w:rsidRDefault="008939C5" w:rsidP="008939C5">
      <w:pPr>
        <w:pStyle w:val="ListParagraph"/>
        <w:numPr>
          <w:ilvl w:val="0"/>
          <w:numId w:val="7"/>
        </w:numPr>
        <w:rPr>
          <w:rFonts w:eastAsia="Cambria"/>
          <w:szCs w:val="24"/>
          <w:lang w:val="en-GB"/>
        </w:rPr>
      </w:pPr>
      <w:r w:rsidRPr="00A22DAB">
        <w:rPr>
          <w:rFonts w:eastAsiaTheme="minorEastAsia"/>
          <w:color w:val="000000" w:themeColor="text1"/>
          <w:kern w:val="24"/>
          <w:szCs w:val="24"/>
          <w:lang w:val="en-GB" w:eastAsia="en-GB"/>
        </w:rPr>
        <w:t>Do (and how do) orientations to English and language matter in overall evaluation of papers?</w:t>
      </w:r>
    </w:p>
    <w:p w14:paraId="68DBFD84" w14:textId="77777777" w:rsidR="00EB7635" w:rsidRPr="00ED6B47" w:rsidRDefault="00EB7635" w:rsidP="00EB7635">
      <w:pPr>
        <w:rPr>
          <w:szCs w:val="24"/>
          <w:lang w:val="en-GB" w:eastAsia="en-GB"/>
        </w:rPr>
      </w:pPr>
    </w:p>
    <w:p w14:paraId="071FBB97" w14:textId="0D25718B" w:rsidR="00C16D30" w:rsidRPr="00ED6B47" w:rsidRDefault="00C16D30" w:rsidP="008431F4">
      <w:pPr>
        <w:jc w:val="center"/>
        <w:rPr>
          <w:b/>
          <w:szCs w:val="24"/>
          <w:lang w:val="en-GB" w:eastAsia="en-GB"/>
        </w:rPr>
      </w:pPr>
      <w:r w:rsidRPr="00ED6B47">
        <w:rPr>
          <w:b/>
          <w:szCs w:val="24"/>
          <w:lang w:val="en-GB" w:eastAsia="en-GB"/>
        </w:rPr>
        <w:t>Example of one Text History</w:t>
      </w:r>
    </w:p>
    <w:p w14:paraId="3E09D4F1" w14:textId="77777777" w:rsidR="00C16D30" w:rsidRPr="00ED6B47" w:rsidRDefault="00C16D30" w:rsidP="008431F4">
      <w:pPr>
        <w:jc w:val="center"/>
        <w:rPr>
          <w:b/>
          <w:szCs w:val="24"/>
          <w:lang w:val="en-GB" w:eastAsia="en-GB"/>
        </w:rPr>
      </w:pPr>
    </w:p>
    <w:p w14:paraId="21734AF5" w14:textId="616D6AF6" w:rsidR="00EB7635" w:rsidRPr="00ED6B47" w:rsidRDefault="00C16D30" w:rsidP="00EB7635">
      <w:pPr>
        <w:rPr>
          <w:b/>
          <w:szCs w:val="24"/>
          <w:lang w:val="en-GB" w:eastAsia="en-GB"/>
        </w:rPr>
      </w:pPr>
      <w:proofErr w:type="gramStart"/>
      <w:r w:rsidRPr="00ED6B47">
        <w:rPr>
          <w:b/>
          <w:szCs w:val="24"/>
          <w:lang w:val="en-GB" w:eastAsia="en-GB"/>
        </w:rPr>
        <w:t>Brief summary</w:t>
      </w:r>
      <w:proofErr w:type="gramEnd"/>
      <w:r w:rsidRPr="00ED6B47">
        <w:rPr>
          <w:b/>
          <w:szCs w:val="24"/>
          <w:lang w:val="en-GB" w:eastAsia="en-GB"/>
        </w:rPr>
        <w:t xml:space="preserve"> and</w:t>
      </w:r>
      <w:r w:rsidR="00EB7635" w:rsidRPr="00ED6B47">
        <w:rPr>
          <w:b/>
          <w:szCs w:val="24"/>
          <w:lang w:val="en-GB" w:eastAsia="en-GB"/>
        </w:rPr>
        <w:t xml:space="preserve"> </w:t>
      </w:r>
      <w:r w:rsidRPr="00ED6B47">
        <w:rPr>
          <w:b/>
          <w:szCs w:val="24"/>
          <w:lang w:val="en-GB" w:eastAsia="en-GB"/>
        </w:rPr>
        <w:t>e</w:t>
      </w:r>
      <w:r w:rsidR="00EB7635" w:rsidRPr="00ED6B47">
        <w:rPr>
          <w:b/>
          <w:szCs w:val="24"/>
          <w:lang w:val="en-GB" w:eastAsia="en-GB"/>
        </w:rPr>
        <w:t xml:space="preserve">xtracts from </w:t>
      </w:r>
      <w:r w:rsidR="004856BE" w:rsidRPr="00ED6B47">
        <w:rPr>
          <w:b/>
          <w:szCs w:val="24"/>
          <w:lang w:val="en-GB" w:eastAsia="en-GB"/>
        </w:rPr>
        <w:t>reviewer</w:t>
      </w:r>
      <w:r w:rsidRPr="00ED6B47">
        <w:rPr>
          <w:b/>
          <w:szCs w:val="24"/>
          <w:lang w:val="en-GB" w:eastAsia="en-GB"/>
        </w:rPr>
        <w:t xml:space="preserve"> and </w:t>
      </w:r>
      <w:r w:rsidR="004856BE" w:rsidRPr="00ED6B47">
        <w:rPr>
          <w:b/>
          <w:szCs w:val="24"/>
          <w:lang w:val="en-GB" w:eastAsia="en-GB"/>
        </w:rPr>
        <w:t>editor</w:t>
      </w:r>
      <w:r w:rsidRPr="00ED6B47">
        <w:rPr>
          <w:b/>
          <w:szCs w:val="24"/>
          <w:lang w:val="en-GB" w:eastAsia="en-GB"/>
        </w:rPr>
        <w:t xml:space="preserve"> comments</w:t>
      </w:r>
    </w:p>
    <w:p w14:paraId="5F8A30F7" w14:textId="77777777" w:rsidR="00EB7635" w:rsidRPr="00ED6B47" w:rsidRDefault="00EB7635" w:rsidP="00EB7635">
      <w:pPr>
        <w:rPr>
          <w:szCs w:val="24"/>
          <w:lang w:val="en-GB" w:eastAsia="en-GB"/>
        </w:rPr>
      </w:pPr>
    </w:p>
    <w:p w14:paraId="15F29F08" w14:textId="77777777" w:rsidR="00E53175" w:rsidRPr="00ED6B47" w:rsidRDefault="00E53175" w:rsidP="00E53175">
      <w:pPr>
        <w:keepNext/>
        <w:outlineLvl w:val="2"/>
        <w:rPr>
          <w:rFonts w:eastAsia="Calibri"/>
          <w:bCs/>
          <w:szCs w:val="24"/>
        </w:rPr>
      </w:pPr>
      <w:r w:rsidRPr="00ED6B47">
        <w:rPr>
          <w:rFonts w:eastAsia="Calibri"/>
          <w:b/>
          <w:bCs/>
          <w:szCs w:val="24"/>
        </w:rPr>
        <w:t>Background:</w:t>
      </w:r>
      <w:r w:rsidRPr="00ED6B47">
        <w:rPr>
          <w:rFonts w:eastAsia="Calibri"/>
          <w:bCs/>
          <w:szCs w:val="24"/>
        </w:rPr>
        <w:t xml:space="preserve"> Article was written by five co-authors in the field of psychology. The main author was a mid-career academic researching and writing with four junior academics. The main author had 17 journal article publications in English and 13 in the national language. The article was submitted to and rejected by one journal then submitted to a second journal, where it was accepted. </w:t>
      </w:r>
    </w:p>
    <w:p w14:paraId="17CBB9B8" w14:textId="77777777" w:rsidR="00E53175" w:rsidRPr="00ED6B47" w:rsidRDefault="00E53175" w:rsidP="00E53175">
      <w:pPr>
        <w:keepNext/>
        <w:outlineLvl w:val="2"/>
        <w:rPr>
          <w:rFonts w:eastAsia="Calibri"/>
          <w:bCs/>
          <w:szCs w:val="24"/>
        </w:rPr>
      </w:pPr>
    </w:p>
    <w:p w14:paraId="7DA08A14" w14:textId="77777777" w:rsidR="00E53175" w:rsidRPr="00ED6B47" w:rsidRDefault="00E53175" w:rsidP="00E53175">
      <w:pPr>
        <w:keepNext/>
        <w:outlineLvl w:val="2"/>
        <w:rPr>
          <w:rFonts w:eastAsia="Calibri"/>
          <w:b/>
          <w:bCs/>
          <w:szCs w:val="24"/>
        </w:rPr>
      </w:pPr>
      <w:r w:rsidRPr="00ED6B47">
        <w:rPr>
          <w:rFonts w:eastAsia="Calibri"/>
          <w:b/>
          <w:bCs/>
          <w:szCs w:val="24"/>
        </w:rPr>
        <w:t>JOURNAL 1</w:t>
      </w:r>
    </w:p>
    <w:p w14:paraId="12DE10FD" w14:textId="6122CFFD" w:rsidR="00E53175" w:rsidRPr="00ED6B47" w:rsidRDefault="00E53175" w:rsidP="00E53175">
      <w:pPr>
        <w:keepNext/>
        <w:outlineLvl w:val="2"/>
        <w:rPr>
          <w:rFonts w:eastAsia="Calibri"/>
          <w:bCs/>
          <w:szCs w:val="24"/>
        </w:rPr>
      </w:pPr>
      <w:r w:rsidRPr="00ED6B47">
        <w:rPr>
          <w:rFonts w:eastAsia="Calibri"/>
          <w:b/>
          <w:bCs/>
          <w:szCs w:val="24"/>
        </w:rPr>
        <w:t>Editor’s response:</w:t>
      </w:r>
      <w:r w:rsidRPr="00ED6B47">
        <w:rPr>
          <w:rFonts w:eastAsia="Calibri"/>
          <w:bCs/>
          <w:szCs w:val="24"/>
        </w:rPr>
        <w:t xml:space="preserve"> Reject</w:t>
      </w:r>
      <w:r w:rsidR="00A22DAB">
        <w:rPr>
          <w:rFonts w:eastAsia="Calibri"/>
          <w:bCs/>
          <w:szCs w:val="24"/>
        </w:rPr>
        <w:t xml:space="preserve"> --</w:t>
      </w:r>
      <w:r w:rsidRPr="00ED6B47">
        <w:rPr>
          <w:rFonts w:eastAsia="Calibri"/>
          <w:bCs/>
          <w:szCs w:val="24"/>
        </w:rPr>
        <w:t xml:space="preserve"> letter accompanying 3 reviews</w:t>
      </w:r>
    </w:p>
    <w:p w14:paraId="3AF3E6DB" w14:textId="77777777" w:rsidR="004856BE" w:rsidRPr="00ED6B47" w:rsidRDefault="004856BE" w:rsidP="00E53175">
      <w:pPr>
        <w:keepNext/>
        <w:outlineLvl w:val="2"/>
        <w:rPr>
          <w:rFonts w:eastAsia="Calibri"/>
          <w:b/>
          <w:bCs/>
          <w:szCs w:val="24"/>
        </w:rPr>
      </w:pPr>
    </w:p>
    <w:p w14:paraId="6C3E66CA" w14:textId="77777777" w:rsidR="00E53175" w:rsidRPr="00ED6B47" w:rsidRDefault="00E53175" w:rsidP="00E53175">
      <w:pPr>
        <w:keepNext/>
        <w:outlineLvl w:val="2"/>
        <w:rPr>
          <w:rFonts w:eastAsia="Calibri"/>
          <w:bCs/>
          <w:szCs w:val="24"/>
        </w:rPr>
      </w:pPr>
      <w:r w:rsidRPr="00ED6B47">
        <w:rPr>
          <w:rFonts w:eastAsia="Calibri"/>
          <w:bCs/>
          <w:szCs w:val="24"/>
        </w:rPr>
        <w:t>In a long covering letter (95+ lines), the decision to reject is stated based on the reviews and the editor’s ‘own reading of the manuscript’. The editor’s comments are based on her ‘careful reading of the manuscript myself’, signaled in her widespread use of the first person ‘I’ (I think, I felt, etc.). The critical comments centre on concerns about methodology, analytic tools used and forms of analysis, and are written in the register of hedged commentary (‘it seems to place in opposition’, ‘you seem to assume’, ‘it seems to me that’) with only one emotionally loaded negative evaluation, ‘nonsensical’.</w:t>
      </w:r>
    </w:p>
    <w:p w14:paraId="30FA4C05" w14:textId="77777777" w:rsidR="00E53175" w:rsidRPr="00ED6B47" w:rsidRDefault="00E53175" w:rsidP="00E53175">
      <w:pPr>
        <w:keepNext/>
        <w:outlineLvl w:val="2"/>
        <w:rPr>
          <w:rFonts w:eastAsia="Calibri"/>
          <w:bCs/>
          <w:szCs w:val="24"/>
        </w:rPr>
      </w:pPr>
    </w:p>
    <w:p w14:paraId="0D43203B" w14:textId="77777777" w:rsidR="00E53175" w:rsidRPr="00ED6B47" w:rsidRDefault="00E53175" w:rsidP="00E53175">
      <w:pPr>
        <w:keepNext/>
        <w:outlineLvl w:val="2"/>
        <w:rPr>
          <w:rFonts w:eastAsia="Calibri"/>
          <w:bCs/>
          <w:szCs w:val="24"/>
        </w:rPr>
      </w:pPr>
      <w:r w:rsidRPr="00ED6B47">
        <w:rPr>
          <w:rFonts w:eastAsia="Calibri"/>
          <w:bCs/>
          <w:szCs w:val="24"/>
        </w:rPr>
        <w:t xml:space="preserve">In concluding her comments, the editor signals, however, that the paper could be publishable: ‘I think it could be, but for me, and two of the reviewers, this would involve significant work’. The nature of this </w:t>
      </w:r>
      <w:r w:rsidRPr="00ED6B47">
        <w:rPr>
          <w:rFonts w:eastAsia="Calibri"/>
          <w:bCs/>
          <w:i/>
          <w:szCs w:val="24"/>
        </w:rPr>
        <w:t>significant</w:t>
      </w:r>
      <w:r w:rsidRPr="00ED6B47">
        <w:rPr>
          <w:rFonts w:eastAsia="Calibri"/>
          <w:bCs/>
          <w:szCs w:val="24"/>
        </w:rPr>
        <w:t xml:space="preserve"> work is not specified but it is clearly not considered do-able by the editor. </w:t>
      </w:r>
    </w:p>
    <w:p w14:paraId="633824B0" w14:textId="77777777" w:rsidR="00E53175" w:rsidRPr="00ED6B47" w:rsidRDefault="00E53175" w:rsidP="00E53175">
      <w:pPr>
        <w:keepNext/>
        <w:outlineLvl w:val="2"/>
        <w:rPr>
          <w:rFonts w:eastAsia="Calibri"/>
          <w:bCs/>
          <w:szCs w:val="24"/>
        </w:rPr>
      </w:pPr>
    </w:p>
    <w:p w14:paraId="7BE4690C" w14:textId="77777777" w:rsidR="00E53175" w:rsidRPr="00ED6B47" w:rsidRDefault="00E53175" w:rsidP="00E53175">
      <w:pPr>
        <w:rPr>
          <w:szCs w:val="24"/>
        </w:rPr>
      </w:pPr>
      <w:r w:rsidRPr="00ED6B47">
        <w:rPr>
          <w:rFonts w:eastAsia="Calibri"/>
          <w:b/>
          <w:bCs/>
          <w:szCs w:val="24"/>
        </w:rPr>
        <w:t>Reviewer 1.</w:t>
      </w:r>
      <w:r w:rsidRPr="00ED6B47">
        <w:rPr>
          <w:rFonts w:eastAsia="Calibri"/>
          <w:bCs/>
          <w:szCs w:val="24"/>
        </w:rPr>
        <w:t xml:space="preserve"> Explicitly negative overall.</w:t>
      </w:r>
      <w:r w:rsidRPr="00ED6B47">
        <w:rPr>
          <w:szCs w:val="24"/>
        </w:rPr>
        <w:t xml:space="preserve"> Many concerns about rhetorical organization, language and style are echoed across the review:</w:t>
      </w:r>
    </w:p>
    <w:p w14:paraId="049EEDE5" w14:textId="77777777" w:rsidR="00E53175" w:rsidRPr="00ED6B47" w:rsidRDefault="00E53175" w:rsidP="00E53175">
      <w:pPr>
        <w:rPr>
          <w:szCs w:val="24"/>
        </w:rPr>
      </w:pPr>
    </w:p>
    <w:p w14:paraId="60191952" w14:textId="77777777" w:rsidR="00E53175" w:rsidRPr="00ED6B47" w:rsidRDefault="00E53175" w:rsidP="00E53175">
      <w:pPr>
        <w:ind w:left="720"/>
        <w:rPr>
          <w:i/>
          <w:szCs w:val="24"/>
        </w:rPr>
      </w:pPr>
      <w:r w:rsidRPr="00ED6B47">
        <w:rPr>
          <w:i/>
          <w:szCs w:val="24"/>
        </w:rPr>
        <w:t>I found the organization of this manuscript to be very confusing.</w:t>
      </w:r>
    </w:p>
    <w:p w14:paraId="3DED424B" w14:textId="77777777" w:rsidR="00E53175" w:rsidRPr="00ED6B47" w:rsidRDefault="00E53175" w:rsidP="00E53175">
      <w:pPr>
        <w:ind w:left="720"/>
        <w:rPr>
          <w:i/>
          <w:szCs w:val="24"/>
        </w:rPr>
      </w:pPr>
    </w:p>
    <w:p w14:paraId="5215197A" w14:textId="77777777" w:rsidR="00E53175" w:rsidRPr="00ED6B47" w:rsidRDefault="00E53175" w:rsidP="00E53175">
      <w:pPr>
        <w:ind w:left="720"/>
        <w:rPr>
          <w:i/>
          <w:szCs w:val="24"/>
        </w:rPr>
      </w:pPr>
      <w:r w:rsidRPr="00ED6B47">
        <w:rPr>
          <w:i/>
          <w:szCs w:val="24"/>
        </w:rPr>
        <w:t>This paper would benefit from significant reorganization.</w:t>
      </w:r>
    </w:p>
    <w:p w14:paraId="0E7F3C2F" w14:textId="77777777" w:rsidR="00E53175" w:rsidRPr="00ED6B47" w:rsidRDefault="00E53175" w:rsidP="00E53175">
      <w:pPr>
        <w:ind w:left="720"/>
        <w:rPr>
          <w:i/>
          <w:szCs w:val="24"/>
        </w:rPr>
      </w:pPr>
    </w:p>
    <w:p w14:paraId="423488E7" w14:textId="77777777" w:rsidR="00E53175" w:rsidRPr="00ED6B47" w:rsidRDefault="00E53175" w:rsidP="00E53175">
      <w:pPr>
        <w:ind w:left="720"/>
        <w:rPr>
          <w:rFonts w:eastAsia="Arial"/>
          <w:i/>
          <w:kern w:val="24"/>
          <w:szCs w:val="24"/>
        </w:rPr>
      </w:pPr>
      <w:r w:rsidRPr="00ED6B47">
        <w:rPr>
          <w:rFonts w:eastAsia="Arial"/>
          <w:i/>
          <w:kern w:val="24"/>
          <w:szCs w:val="24"/>
        </w:rPr>
        <w:t>Perhaps it is personal preference, but I find the writing style of this/these authors to be very flowery and containing an excess of verbiage.</w:t>
      </w:r>
    </w:p>
    <w:p w14:paraId="7474D7BD" w14:textId="77777777" w:rsidR="00E53175" w:rsidRPr="00ED6B47" w:rsidRDefault="00E53175" w:rsidP="00E53175">
      <w:pPr>
        <w:ind w:left="720"/>
        <w:rPr>
          <w:rFonts w:eastAsia="Arial"/>
          <w:i/>
          <w:kern w:val="24"/>
          <w:szCs w:val="24"/>
        </w:rPr>
      </w:pPr>
    </w:p>
    <w:p w14:paraId="418554FD" w14:textId="77777777" w:rsidR="00E53175" w:rsidRPr="00ED6B47" w:rsidRDefault="00E53175" w:rsidP="00E53175">
      <w:pPr>
        <w:ind w:left="720"/>
        <w:rPr>
          <w:i/>
          <w:szCs w:val="24"/>
        </w:rPr>
      </w:pPr>
      <w:r w:rsidRPr="00ED6B47">
        <w:rPr>
          <w:i/>
          <w:szCs w:val="24"/>
        </w:rPr>
        <w:t xml:space="preserve">The length of the sentence, the multiple embedding of concepts, and the way they “back into” an explanation reduces the “reader-friendliness” of the manuscript. </w:t>
      </w:r>
    </w:p>
    <w:p w14:paraId="331A33F8" w14:textId="77777777" w:rsidR="00E53175" w:rsidRPr="00ED6B47" w:rsidRDefault="00E53175" w:rsidP="00E53175">
      <w:pPr>
        <w:ind w:left="720"/>
        <w:rPr>
          <w:i/>
          <w:szCs w:val="24"/>
        </w:rPr>
      </w:pPr>
    </w:p>
    <w:p w14:paraId="0F488491" w14:textId="77777777" w:rsidR="00E53175" w:rsidRPr="00ED6B47" w:rsidRDefault="00E53175" w:rsidP="00E53175">
      <w:pPr>
        <w:ind w:left="720"/>
        <w:rPr>
          <w:i/>
          <w:szCs w:val="24"/>
        </w:rPr>
      </w:pPr>
      <w:r w:rsidRPr="00ED6B47">
        <w:rPr>
          <w:i/>
          <w:szCs w:val="24"/>
        </w:rPr>
        <w:t>This manuscript would benefit from significant editing to present concepts in a more straightforward manner.</w:t>
      </w:r>
    </w:p>
    <w:p w14:paraId="6C126F7D" w14:textId="77777777" w:rsidR="00E53175" w:rsidRPr="00ED6B47" w:rsidRDefault="00E53175" w:rsidP="00E53175">
      <w:pPr>
        <w:ind w:left="720"/>
        <w:rPr>
          <w:i/>
          <w:szCs w:val="24"/>
        </w:rPr>
      </w:pPr>
    </w:p>
    <w:p w14:paraId="1A4BECD3" w14:textId="77777777" w:rsidR="00E53175" w:rsidRPr="00ED6B47" w:rsidRDefault="00E53175" w:rsidP="00E53175">
      <w:pPr>
        <w:ind w:left="720"/>
        <w:rPr>
          <w:i/>
          <w:szCs w:val="24"/>
        </w:rPr>
      </w:pPr>
      <w:r w:rsidRPr="00ED6B47">
        <w:rPr>
          <w:i/>
          <w:szCs w:val="24"/>
        </w:rPr>
        <w:lastRenderedPageBreak/>
        <w:t>The author(s) also present a lot of redundancy.</w:t>
      </w:r>
    </w:p>
    <w:p w14:paraId="6DC90908" w14:textId="77777777" w:rsidR="00E53175" w:rsidRPr="00ED6B47" w:rsidRDefault="00E53175" w:rsidP="00E53175">
      <w:pPr>
        <w:rPr>
          <w:i/>
          <w:szCs w:val="24"/>
        </w:rPr>
      </w:pPr>
    </w:p>
    <w:p w14:paraId="546C6274" w14:textId="77777777" w:rsidR="00E53175" w:rsidRPr="00ED6B47" w:rsidRDefault="00E53175" w:rsidP="00E53175">
      <w:pPr>
        <w:ind w:left="720"/>
        <w:rPr>
          <w:i/>
          <w:szCs w:val="24"/>
        </w:rPr>
      </w:pPr>
      <w:r w:rsidRPr="00ED6B47">
        <w:rPr>
          <w:i/>
          <w:szCs w:val="24"/>
        </w:rPr>
        <w:t>Throughout the entire document you create sentences that are so long that the meaning becomes obscured.</w:t>
      </w:r>
    </w:p>
    <w:p w14:paraId="5D09E138" w14:textId="77777777" w:rsidR="00E53175" w:rsidRPr="00ED6B47" w:rsidRDefault="00E53175" w:rsidP="00E53175">
      <w:pPr>
        <w:keepNext/>
        <w:outlineLvl w:val="2"/>
        <w:rPr>
          <w:rFonts w:eastAsia="Calibri"/>
          <w:bCs/>
          <w:szCs w:val="24"/>
        </w:rPr>
      </w:pPr>
    </w:p>
    <w:p w14:paraId="5F11FC74" w14:textId="77777777" w:rsidR="00E53175" w:rsidRPr="00ED6B47" w:rsidRDefault="00E53175" w:rsidP="00E53175">
      <w:pPr>
        <w:rPr>
          <w:i/>
          <w:szCs w:val="24"/>
        </w:rPr>
      </w:pPr>
      <w:r w:rsidRPr="00ED6B47">
        <w:rPr>
          <w:rFonts w:eastAsia="Calibri"/>
          <w:b/>
          <w:bCs/>
          <w:szCs w:val="24"/>
        </w:rPr>
        <w:t>Reviewer 2:</w:t>
      </w:r>
      <w:r w:rsidRPr="00ED6B47">
        <w:rPr>
          <w:rFonts w:eastAsia="Calibri"/>
          <w:bCs/>
          <w:szCs w:val="24"/>
        </w:rPr>
        <w:t xml:space="preserve"> Explicitly positive. </w:t>
      </w:r>
      <w:r w:rsidRPr="00ED6B47">
        <w:rPr>
          <w:i/>
          <w:szCs w:val="24"/>
        </w:rPr>
        <w:t>This is a really interesting paper that touches on an area as yet unexplored. It contributes to the literature of both [XX] and [XX] and is generally very well written.</w:t>
      </w:r>
      <w:r w:rsidRPr="00ED6B47">
        <w:rPr>
          <w:rStyle w:val="FootnoteReference"/>
          <w:i/>
          <w:szCs w:val="24"/>
        </w:rPr>
        <w:footnoteReference w:id="1"/>
      </w:r>
      <w:r w:rsidRPr="00ED6B47">
        <w:rPr>
          <w:i/>
          <w:szCs w:val="24"/>
        </w:rPr>
        <w:t xml:space="preserve"> </w:t>
      </w:r>
    </w:p>
    <w:p w14:paraId="49662CBF" w14:textId="77777777" w:rsidR="002A6151" w:rsidRPr="00ED6B47" w:rsidRDefault="002A6151" w:rsidP="00E53175">
      <w:pPr>
        <w:rPr>
          <w:szCs w:val="24"/>
        </w:rPr>
      </w:pPr>
    </w:p>
    <w:p w14:paraId="500EE98C" w14:textId="77777777" w:rsidR="00E53175" w:rsidRPr="00ED6B47" w:rsidRDefault="00E53175" w:rsidP="00E53175">
      <w:pPr>
        <w:keepNext/>
        <w:outlineLvl w:val="2"/>
        <w:rPr>
          <w:rFonts w:eastAsia="Calibri"/>
          <w:bCs/>
          <w:szCs w:val="24"/>
        </w:rPr>
      </w:pPr>
      <w:r w:rsidRPr="00ED6B47">
        <w:rPr>
          <w:rFonts w:eastAsia="Calibri"/>
          <w:b/>
          <w:bCs/>
          <w:szCs w:val="24"/>
        </w:rPr>
        <w:t>Reviewer 3</w:t>
      </w:r>
      <w:r w:rsidRPr="00ED6B47">
        <w:rPr>
          <w:rFonts w:eastAsia="Calibri"/>
          <w:bCs/>
          <w:szCs w:val="24"/>
        </w:rPr>
        <w:t>: Brief report (12 lines), points to only one concern and concludes the comments with a request for further information which signals that this reviewer might have recommended a revision rather than rejection</w:t>
      </w:r>
    </w:p>
    <w:p w14:paraId="67227FEA" w14:textId="77777777" w:rsidR="00E53175" w:rsidRPr="00ED6B47" w:rsidRDefault="00E53175" w:rsidP="00E53175">
      <w:pPr>
        <w:rPr>
          <w:szCs w:val="24"/>
        </w:rPr>
      </w:pPr>
    </w:p>
    <w:p w14:paraId="31922EF7" w14:textId="39EC320E" w:rsidR="00E53175" w:rsidRPr="00ED6B47" w:rsidRDefault="00E53175" w:rsidP="00E53175">
      <w:pPr>
        <w:rPr>
          <w:i/>
          <w:szCs w:val="24"/>
        </w:rPr>
      </w:pPr>
      <w:r w:rsidRPr="00ED6B47">
        <w:rPr>
          <w:b/>
          <w:szCs w:val="24"/>
        </w:rPr>
        <w:t>JOURNAL 2:</w:t>
      </w:r>
      <w:r w:rsidRPr="00ED6B47">
        <w:rPr>
          <w:i/>
          <w:szCs w:val="24"/>
        </w:rPr>
        <w:t xml:space="preserve"> </w:t>
      </w:r>
    </w:p>
    <w:p w14:paraId="35491C67" w14:textId="77777777" w:rsidR="004856BE" w:rsidRPr="00ED6B47" w:rsidRDefault="004856BE" w:rsidP="00E53175">
      <w:pPr>
        <w:rPr>
          <w:i/>
          <w:szCs w:val="24"/>
        </w:rPr>
      </w:pPr>
    </w:p>
    <w:p w14:paraId="50209657" w14:textId="43846C98" w:rsidR="00E53175" w:rsidRPr="00ED6B47" w:rsidRDefault="00E53175" w:rsidP="00E53175">
      <w:pPr>
        <w:rPr>
          <w:szCs w:val="24"/>
        </w:rPr>
      </w:pPr>
      <w:r w:rsidRPr="00ED6B47">
        <w:rPr>
          <w:b/>
          <w:szCs w:val="24"/>
        </w:rPr>
        <w:t>Editor’s response</w:t>
      </w:r>
      <w:r w:rsidRPr="00ED6B47">
        <w:rPr>
          <w:szCs w:val="24"/>
        </w:rPr>
        <w:t xml:space="preserve">. </w:t>
      </w:r>
      <w:r w:rsidR="002A6151" w:rsidRPr="00ED6B47">
        <w:rPr>
          <w:szCs w:val="24"/>
        </w:rPr>
        <w:t xml:space="preserve">Accept. </w:t>
      </w:r>
      <w:r w:rsidRPr="00ED6B47">
        <w:rPr>
          <w:szCs w:val="24"/>
        </w:rPr>
        <w:t xml:space="preserve">Brief letter reporting the acceptance decision impersonally, indirectly using the two reviewers’ comments as a warrant. </w:t>
      </w:r>
      <w:r w:rsidRPr="00ED6B47">
        <w:rPr>
          <w:i/>
          <w:szCs w:val="24"/>
        </w:rPr>
        <w:t>The referees have recommended publication, but also suggest some minor revisions to your manuscript. We would like you to take account of the referee(s)’ comment and revise your manuscript accordingly</w:t>
      </w:r>
      <w:r w:rsidRPr="00ED6B47">
        <w:rPr>
          <w:szCs w:val="24"/>
        </w:rPr>
        <w:t xml:space="preserve">. </w:t>
      </w:r>
    </w:p>
    <w:p w14:paraId="0D3474EE" w14:textId="77777777" w:rsidR="00E53175" w:rsidRPr="00ED6B47" w:rsidRDefault="00E53175" w:rsidP="00E53175">
      <w:pPr>
        <w:rPr>
          <w:szCs w:val="24"/>
        </w:rPr>
      </w:pPr>
    </w:p>
    <w:p w14:paraId="30768276" w14:textId="037A1A19" w:rsidR="00E53175" w:rsidRPr="00ED6B47" w:rsidRDefault="00E53175" w:rsidP="00E53175">
      <w:pPr>
        <w:rPr>
          <w:szCs w:val="24"/>
        </w:rPr>
      </w:pPr>
      <w:r w:rsidRPr="00ED6B47">
        <w:rPr>
          <w:b/>
          <w:szCs w:val="24"/>
        </w:rPr>
        <w:t>Reviewer 1:</w:t>
      </w:r>
      <w:r w:rsidRPr="00ED6B47">
        <w:rPr>
          <w:szCs w:val="24"/>
        </w:rPr>
        <w:t xml:space="preserve"> makes no explicit comments on English or language, but  some of the comments signal that language/rhetorical revision is needed:</w:t>
      </w:r>
    </w:p>
    <w:p w14:paraId="4D77C4F4" w14:textId="77777777" w:rsidR="00E53175" w:rsidRPr="00ED6B47" w:rsidRDefault="00E53175" w:rsidP="00E53175">
      <w:pPr>
        <w:rPr>
          <w:szCs w:val="24"/>
        </w:rPr>
      </w:pPr>
    </w:p>
    <w:p w14:paraId="06CBA78D" w14:textId="77777777" w:rsidR="00E53175" w:rsidRPr="00ED6B47" w:rsidRDefault="00E53175" w:rsidP="00E53175">
      <w:pPr>
        <w:ind w:left="720"/>
        <w:rPr>
          <w:i/>
          <w:szCs w:val="24"/>
        </w:rPr>
      </w:pPr>
      <w:r w:rsidRPr="00ED6B47">
        <w:rPr>
          <w:i/>
          <w:szCs w:val="24"/>
        </w:rPr>
        <w:t>I understand that---, however perhaps at the beginning you could----</w:t>
      </w:r>
    </w:p>
    <w:p w14:paraId="4DE776B5" w14:textId="77777777" w:rsidR="00E53175" w:rsidRPr="00ED6B47" w:rsidRDefault="00E53175" w:rsidP="00E53175">
      <w:pPr>
        <w:ind w:left="720"/>
        <w:rPr>
          <w:i/>
          <w:szCs w:val="24"/>
        </w:rPr>
      </w:pPr>
    </w:p>
    <w:p w14:paraId="43C1D738" w14:textId="77777777" w:rsidR="00E53175" w:rsidRPr="00ED6B47" w:rsidRDefault="00E53175" w:rsidP="00E53175">
      <w:pPr>
        <w:ind w:left="720"/>
        <w:rPr>
          <w:i/>
          <w:szCs w:val="24"/>
        </w:rPr>
      </w:pPr>
      <w:r w:rsidRPr="00ED6B47">
        <w:rPr>
          <w:i/>
          <w:szCs w:val="24"/>
        </w:rPr>
        <w:t>I appreciate how well the writers describe ---, but would like just a bit more on the settings---</w:t>
      </w:r>
    </w:p>
    <w:p w14:paraId="7E6A5489" w14:textId="77777777" w:rsidR="00E53175" w:rsidRPr="00ED6B47" w:rsidRDefault="00E53175" w:rsidP="00E53175">
      <w:pPr>
        <w:ind w:left="720"/>
        <w:rPr>
          <w:i/>
          <w:szCs w:val="24"/>
        </w:rPr>
      </w:pPr>
    </w:p>
    <w:p w14:paraId="5039F9C3" w14:textId="77777777" w:rsidR="00E53175" w:rsidRPr="00ED6B47" w:rsidRDefault="00E53175" w:rsidP="00E53175">
      <w:pPr>
        <w:ind w:left="720"/>
        <w:rPr>
          <w:i/>
          <w:szCs w:val="24"/>
        </w:rPr>
      </w:pPr>
      <w:r w:rsidRPr="00ED6B47">
        <w:rPr>
          <w:i/>
          <w:szCs w:val="24"/>
        </w:rPr>
        <w:t>I believe somewhere it might be helpful to mention when you begin discussion about---</w:t>
      </w:r>
    </w:p>
    <w:p w14:paraId="5B2FA08E" w14:textId="77777777" w:rsidR="00E53175" w:rsidRPr="00ED6B47" w:rsidRDefault="00E53175" w:rsidP="00E53175">
      <w:pPr>
        <w:ind w:left="720"/>
        <w:rPr>
          <w:i/>
          <w:szCs w:val="24"/>
        </w:rPr>
      </w:pPr>
    </w:p>
    <w:p w14:paraId="4D2F44F2" w14:textId="77777777" w:rsidR="00E53175" w:rsidRPr="00ED6B47" w:rsidRDefault="00E53175" w:rsidP="00E53175">
      <w:pPr>
        <w:ind w:left="720"/>
        <w:rPr>
          <w:i/>
          <w:szCs w:val="24"/>
        </w:rPr>
      </w:pPr>
      <w:r w:rsidRPr="00ED6B47">
        <w:rPr>
          <w:i/>
          <w:szCs w:val="24"/>
        </w:rPr>
        <w:t xml:space="preserve">I am uncertain if </w:t>
      </w:r>
      <w:proofErr w:type="gramStart"/>
      <w:r w:rsidRPr="00ED6B47">
        <w:rPr>
          <w:i/>
          <w:szCs w:val="24"/>
        </w:rPr>
        <w:t>you</w:t>
      </w:r>
      <w:proofErr w:type="gramEnd"/>
      <w:r w:rsidRPr="00ED6B47">
        <w:rPr>
          <w:i/>
          <w:szCs w:val="24"/>
        </w:rPr>
        <w:t xml:space="preserve"> intent [sic] to say---</w:t>
      </w:r>
    </w:p>
    <w:p w14:paraId="2974DE31" w14:textId="77777777" w:rsidR="00E53175" w:rsidRPr="00ED6B47" w:rsidRDefault="00E53175" w:rsidP="00E53175">
      <w:pPr>
        <w:rPr>
          <w:szCs w:val="24"/>
        </w:rPr>
      </w:pPr>
    </w:p>
    <w:p w14:paraId="037CD552" w14:textId="77777777" w:rsidR="00E53175" w:rsidRPr="00ED6B47" w:rsidRDefault="00E53175" w:rsidP="00E53175">
      <w:pPr>
        <w:rPr>
          <w:szCs w:val="24"/>
        </w:rPr>
      </w:pPr>
      <w:r w:rsidRPr="00ED6B47">
        <w:rPr>
          <w:b/>
          <w:szCs w:val="24"/>
        </w:rPr>
        <w:t>Reviewer 2</w:t>
      </w:r>
      <w:r w:rsidRPr="00ED6B47">
        <w:rPr>
          <w:szCs w:val="24"/>
        </w:rPr>
        <w:t xml:space="preserve"> opens her/his comments with congratulations and an explicitly positive evaluation:</w:t>
      </w:r>
    </w:p>
    <w:p w14:paraId="67106442" w14:textId="77777777" w:rsidR="00E53175" w:rsidRPr="00ED6B47" w:rsidRDefault="00E53175" w:rsidP="00E53175">
      <w:pPr>
        <w:rPr>
          <w:szCs w:val="24"/>
        </w:rPr>
      </w:pPr>
    </w:p>
    <w:p w14:paraId="57B7282F" w14:textId="3CE0BC7A" w:rsidR="00AE205B" w:rsidRPr="00ED6B47" w:rsidRDefault="00E53175" w:rsidP="00E53175">
      <w:pPr>
        <w:ind w:left="720"/>
        <w:rPr>
          <w:i/>
          <w:szCs w:val="24"/>
        </w:rPr>
      </w:pPr>
      <w:r w:rsidRPr="00ED6B47">
        <w:rPr>
          <w:i/>
          <w:szCs w:val="24"/>
        </w:rPr>
        <w:t>I wish to congratulate the author(s) on a well written and engaging paper. I have recommended it be accepted for publication pending revision.</w:t>
      </w:r>
    </w:p>
    <w:p w14:paraId="6241ADA8" w14:textId="0F91FB19" w:rsidR="00ED6B47" w:rsidRDefault="00ED6B47">
      <w:pPr>
        <w:spacing w:after="200" w:line="276" w:lineRule="auto"/>
        <w:rPr>
          <w:b/>
          <w:bCs/>
          <w:iCs/>
          <w:szCs w:val="24"/>
        </w:rPr>
      </w:pPr>
    </w:p>
    <w:p w14:paraId="51698F21" w14:textId="68AD7A82" w:rsidR="00AE205B" w:rsidRPr="00ED6B47" w:rsidRDefault="00147B2A" w:rsidP="008431F4">
      <w:pPr>
        <w:jc w:val="center"/>
        <w:rPr>
          <w:b/>
          <w:bCs/>
          <w:iCs/>
          <w:szCs w:val="24"/>
        </w:rPr>
      </w:pPr>
      <w:r w:rsidRPr="00ED6B47">
        <w:rPr>
          <w:b/>
          <w:bCs/>
          <w:iCs/>
          <w:szCs w:val="24"/>
        </w:rPr>
        <w:t>Publications</w:t>
      </w:r>
      <w:r w:rsidR="0075076B" w:rsidRPr="00ED6B47">
        <w:rPr>
          <w:b/>
          <w:bCs/>
          <w:iCs/>
          <w:szCs w:val="24"/>
        </w:rPr>
        <w:t xml:space="preserve"> </w:t>
      </w:r>
      <w:r w:rsidRPr="00ED6B47">
        <w:rPr>
          <w:b/>
          <w:bCs/>
          <w:iCs/>
          <w:szCs w:val="24"/>
        </w:rPr>
        <w:t>from the PAW Project</w:t>
      </w:r>
    </w:p>
    <w:p w14:paraId="02E182CA" w14:textId="77777777" w:rsidR="00F471C3" w:rsidRDefault="00F471C3" w:rsidP="00147B2A">
      <w:pPr>
        <w:ind w:left="720" w:hanging="720"/>
        <w:rPr>
          <w:iCs/>
        </w:rPr>
      </w:pPr>
      <w:r>
        <w:rPr>
          <w:iCs/>
        </w:rPr>
        <w:t xml:space="preserve">Curry, M.J., Lillis, T., *Alsheri, A., *Mushi, O., &amp; *Xu, X. (in preparation, 2022). Multilingualism as a pillar of academic research practices and communications. In K. McKinney, P. </w:t>
      </w:r>
      <w:proofErr w:type="spellStart"/>
      <w:r>
        <w:rPr>
          <w:iCs/>
        </w:rPr>
        <w:t>Makoe</w:t>
      </w:r>
      <w:proofErr w:type="spellEnd"/>
      <w:r>
        <w:rPr>
          <w:iCs/>
        </w:rPr>
        <w:t xml:space="preserve">, &amp; V. </w:t>
      </w:r>
      <w:proofErr w:type="spellStart"/>
      <w:r>
        <w:rPr>
          <w:iCs/>
        </w:rPr>
        <w:t>Zavalas</w:t>
      </w:r>
      <w:proofErr w:type="spellEnd"/>
      <w:r>
        <w:rPr>
          <w:iCs/>
        </w:rPr>
        <w:t xml:space="preserve"> (Eds.). </w:t>
      </w:r>
      <w:r w:rsidRPr="007B74F5">
        <w:rPr>
          <w:i/>
        </w:rPr>
        <w:t>The Routledge Handbook of Multilingualism</w:t>
      </w:r>
      <w:r>
        <w:rPr>
          <w:iCs/>
        </w:rPr>
        <w:t xml:space="preserve"> (2</w:t>
      </w:r>
      <w:r w:rsidRPr="007B74F5">
        <w:rPr>
          <w:iCs/>
          <w:vertAlign w:val="superscript"/>
        </w:rPr>
        <w:t>nd</w:t>
      </w:r>
      <w:r>
        <w:rPr>
          <w:iCs/>
        </w:rPr>
        <w:t xml:space="preserve"> ed.). Routledge.</w:t>
      </w:r>
    </w:p>
    <w:p w14:paraId="1B0CF7CB" w14:textId="77777777" w:rsidR="00F471C3" w:rsidRDefault="00F471C3" w:rsidP="00147B2A">
      <w:pPr>
        <w:ind w:left="720" w:hanging="720"/>
        <w:rPr>
          <w:szCs w:val="24"/>
          <w:lang w:eastAsia="zh-CN"/>
        </w:rPr>
      </w:pPr>
    </w:p>
    <w:p w14:paraId="5A1E1E26" w14:textId="206342F8" w:rsidR="00147B2A" w:rsidRPr="00ED6B47" w:rsidRDefault="00147B2A" w:rsidP="00147B2A">
      <w:pPr>
        <w:ind w:left="720" w:hanging="720"/>
        <w:rPr>
          <w:i/>
          <w:szCs w:val="24"/>
        </w:rPr>
      </w:pPr>
      <w:r w:rsidRPr="00ED6B47">
        <w:rPr>
          <w:szCs w:val="24"/>
          <w:lang w:eastAsia="zh-CN"/>
        </w:rPr>
        <w:t>Lillis, T., &amp; Curry, M.J. (</w:t>
      </w:r>
      <w:r w:rsidR="00A22DAB">
        <w:rPr>
          <w:szCs w:val="24"/>
          <w:lang w:eastAsia="zh-CN"/>
        </w:rPr>
        <w:t>in press</w:t>
      </w:r>
      <w:r w:rsidRPr="00ED6B47">
        <w:rPr>
          <w:szCs w:val="24"/>
          <w:lang w:eastAsia="zh-CN"/>
        </w:rPr>
        <w:t xml:space="preserve">, 2022). </w:t>
      </w:r>
      <w:r w:rsidR="00F471C3" w:rsidRPr="004D4C92">
        <w:rPr>
          <w:color w:val="000000"/>
        </w:rPr>
        <w:t xml:space="preserve">The dynamics of academic knowledge making in a multilingual world: </w:t>
      </w:r>
      <w:r w:rsidR="00F471C3">
        <w:rPr>
          <w:color w:val="000000"/>
        </w:rPr>
        <w:t>U</w:t>
      </w:r>
      <w:r w:rsidR="00F471C3" w:rsidRPr="004D4C92">
        <w:rPr>
          <w:color w:val="000000"/>
        </w:rPr>
        <w:t>sing a situated heuristic to explore academic writing for publication</w:t>
      </w:r>
      <w:r w:rsidRPr="00ED6B47">
        <w:rPr>
          <w:rFonts w:eastAsia="Calibri" w:cstheme="minorHAnsi"/>
          <w:szCs w:val="24"/>
          <w:lang w:eastAsia="en-GB"/>
        </w:rPr>
        <w:t xml:space="preserve">. To be included in the special issue, </w:t>
      </w:r>
      <w:r w:rsidRPr="00ED6B47">
        <w:rPr>
          <w:szCs w:val="24"/>
        </w:rPr>
        <w:t xml:space="preserve">The dynamics of academic knowledge production: Text histories and text trajectories. </w:t>
      </w:r>
      <w:r w:rsidRPr="00ED6B47">
        <w:rPr>
          <w:i/>
          <w:szCs w:val="24"/>
        </w:rPr>
        <w:t>Journal of English for Research Publication Purposes</w:t>
      </w:r>
    </w:p>
    <w:p w14:paraId="7BB6EDC9" w14:textId="77777777" w:rsidR="00F471C3" w:rsidRDefault="00F471C3" w:rsidP="00147B2A">
      <w:pPr>
        <w:ind w:left="720" w:hanging="720"/>
        <w:rPr>
          <w:szCs w:val="24"/>
        </w:rPr>
      </w:pPr>
    </w:p>
    <w:p w14:paraId="50778CC4" w14:textId="5B8AED1A" w:rsidR="00147B2A" w:rsidRPr="00ED6B47" w:rsidRDefault="00147B2A" w:rsidP="00147B2A">
      <w:pPr>
        <w:ind w:left="720" w:hanging="720"/>
        <w:rPr>
          <w:i/>
          <w:szCs w:val="24"/>
        </w:rPr>
      </w:pPr>
      <w:r w:rsidRPr="00ED6B47">
        <w:rPr>
          <w:szCs w:val="24"/>
        </w:rPr>
        <w:t>Curry, M.J., &amp; Lillis (</w:t>
      </w:r>
      <w:r w:rsidR="00F471C3">
        <w:rPr>
          <w:szCs w:val="24"/>
        </w:rPr>
        <w:t>in press</w:t>
      </w:r>
      <w:r w:rsidRPr="00ED6B47">
        <w:rPr>
          <w:szCs w:val="24"/>
        </w:rPr>
        <w:t xml:space="preserve">). </w:t>
      </w:r>
      <w:r w:rsidRPr="00ED6B47">
        <w:rPr>
          <w:color w:val="000000"/>
          <w:szCs w:val="24"/>
        </w:rPr>
        <w:t xml:space="preserve">Multilingualism in academic writing for publication: Putting English in its place. Invited position paper, </w:t>
      </w:r>
      <w:r w:rsidRPr="00ED6B47">
        <w:rPr>
          <w:i/>
          <w:iCs/>
          <w:color w:val="000000"/>
          <w:szCs w:val="24"/>
        </w:rPr>
        <w:t>Language Teaching</w:t>
      </w:r>
    </w:p>
    <w:p w14:paraId="156029CD" w14:textId="77777777" w:rsidR="00147B2A" w:rsidRPr="00ED6B47" w:rsidRDefault="00147B2A" w:rsidP="00147B2A">
      <w:pPr>
        <w:ind w:left="720" w:hanging="720"/>
        <w:rPr>
          <w:rFonts w:eastAsiaTheme="minorEastAsia"/>
          <w:noProof/>
          <w:szCs w:val="24"/>
        </w:rPr>
      </w:pPr>
      <w:r w:rsidRPr="00ED6B47">
        <w:rPr>
          <w:rFonts w:eastAsiaTheme="minorEastAsia"/>
          <w:noProof/>
          <w:szCs w:val="24"/>
        </w:rPr>
        <w:lastRenderedPageBreak/>
        <w:t>Curry, M.J., &amp; Lillis, T. (2019). Unpacking the lore on multilingual scholars publishing in English: A discussion paper.</w:t>
      </w:r>
      <w:r w:rsidRPr="00ED6B47">
        <w:rPr>
          <w:rFonts w:eastAsiaTheme="minorEastAsia"/>
          <w:b/>
          <w:bCs/>
          <w:noProof/>
          <w:szCs w:val="24"/>
        </w:rPr>
        <w:t xml:space="preserve"> </w:t>
      </w:r>
      <w:r w:rsidRPr="00ED6B47">
        <w:rPr>
          <w:rFonts w:eastAsiaTheme="minorEastAsia"/>
          <w:i/>
          <w:iCs/>
          <w:noProof/>
          <w:szCs w:val="24"/>
        </w:rPr>
        <w:t>Publications, 7</w:t>
      </w:r>
      <w:r w:rsidRPr="00ED6B47">
        <w:rPr>
          <w:rFonts w:eastAsiaTheme="minorEastAsia"/>
          <w:noProof/>
          <w:szCs w:val="24"/>
        </w:rPr>
        <w:t>(27). doi:10.3390/publications7020027</w:t>
      </w:r>
    </w:p>
    <w:p w14:paraId="6279F9E2" w14:textId="77777777" w:rsidR="00F471C3" w:rsidRDefault="00F471C3" w:rsidP="00147B2A">
      <w:pPr>
        <w:ind w:left="720" w:hanging="720"/>
        <w:rPr>
          <w:szCs w:val="24"/>
        </w:rPr>
      </w:pPr>
    </w:p>
    <w:p w14:paraId="253054D9" w14:textId="33CD3513" w:rsidR="00147B2A" w:rsidRPr="00ED6B47" w:rsidRDefault="00147B2A" w:rsidP="00147B2A">
      <w:pPr>
        <w:ind w:left="720" w:hanging="720"/>
        <w:rPr>
          <w:i/>
          <w:szCs w:val="24"/>
        </w:rPr>
      </w:pPr>
      <w:r w:rsidRPr="00ED6B47">
        <w:rPr>
          <w:szCs w:val="24"/>
        </w:rPr>
        <w:t xml:space="preserve">Lillis, T., &amp; Curry, M.J. (2018). Multilingual women scholars writing in academia: Trajectories of knowledge and desires. </w:t>
      </w:r>
      <w:r w:rsidRPr="00ED6B47">
        <w:rPr>
          <w:i/>
          <w:szCs w:val="24"/>
        </w:rPr>
        <w:t>Journal of English for Academic Purposes.</w:t>
      </w:r>
    </w:p>
    <w:p w14:paraId="13D81E17" w14:textId="77777777" w:rsidR="00F471C3" w:rsidRDefault="00F471C3" w:rsidP="00147B2A">
      <w:pPr>
        <w:ind w:left="720" w:hanging="720"/>
        <w:rPr>
          <w:szCs w:val="24"/>
        </w:rPr>
      </w:pPr>
    </w:p>
    <w:p w14:paraId="58E2137C" w14:textId="7C744716" w:rsidR="00147B2A" w:rsidRPr="00ED6B47" w:rsidRDefault="00147B2A" w:rsidP="00147B2A">
      <w:pPr>
        <w:ind w:left="720" w:hanging="720"/>
        <w:rPr>
          <w:szCs w:val="24"/>
        </w:rPr>
      </w:pPr>
      <w:r w:rsidRPr="00ED6B47">
        <w:rPr>
          <w:szCs w:val="24"/>
        </w:rPr>
        <w:t xml:space="preserve">Curry, M.J., &amp; Lillis, T.M. (Eds.) (2018). </w:t>
      </w:r>
      <w:r w:rsidRPr="00ED6B47">
        <w:rPr>
          <w:i/>
          <w:szCs w:val="24"/>
        </w:rPr>
        <w:t>Global academic publishing: Policies, perspectives and pedagogies.</w:t>
      </w:r>
      <w:r w:rsidRPr="00ED6B47">
        <w:rPr>
          <w:szCs w:val="24"/>
        </w:rPr>
        <w:t xml:space="preserve"> Multilingual Matters.</w:t>
      </w:r>
    </w:p>
    <w:p w14:paraId="5D3D9AF1" w14:textId="77777777" w:rsidR="00F471C3" w:rsidRDefault="00F471C3" w:rsidP="00147B2A">
      <w:pPr>
        <w:ind w:left="720" w:hanging="720"/>
        <w:rPr>
          <w:szCs w:val="24"/>
        </w:rPr>
      </w:pPr>
    </w:p>
    <w:p w14:paraId="3881B34C" w14:textId="65071F03" w:rsidR="00147B2A" w:rsidRPr="00ED6B47" w:rsidRDefault="00147B2A" w:rsidP="00147B2A">
      <w:pPr>
        <w:ind w:left="720" w:hanging="720"/>
        <w:rPr>
          <w:szCs w:val="24"/>
        </w:rPr>
      </w:pPr>
      <w:r w:rsidRPr="00ED6B47">
        <w:rPr>
          <w:szCs w:val="24"/>
        </w:rPr>
        <w:t xml:space="preserve">Lillis, T.M., &amp; Curry, M.J. (2016). Academic writing for publication in a multilingual world. R. Manchon and P.K. Matsuda (Eds.), </w:t>
      </w:r>
      <w:r w:rsidRPr="00ED6B47">
        <w:rPr>
          <w:i/>
          <w:szCs w:val="24"/>
        </w:rPr>
        <w:t xml:space="preserve">Handbook of Second and Foreign Language Writing </w:t>
      </w:r>
      <w:r w:rsidRPr="00ED6B47">
        <w:rPr>
          <w:szCs w:val="24"/>
        </w:rPr>
        <w:t>(pp. 201-222). De Gruyter Mouton.</w:t>
      </w:r>
    </w:p>
    <w:p w14:paraId="596E12AB" w14:textId="77777777" w:rsidR="00F471C3" w:rsidRDefault="00F471C3" w:rsidP="00147B2A">
      <w:pPr>
        <w:tabs>
          <w:tab w:val="left" w:pos="720"/>
        </w:tabs>
        <w:ind w:left="720" w:hanging="720"/>
        <w:rPr>
          <w:szCs w:val="24"/>
        </w:rPr>
      </w:pPr>
    </w:p>
    <w:p w14:paraId="4A33C539" w14:textId="1F6DFC20" w:rsidR="00147B2A" w:rsidRPr="00ED6B47" w:rsidRDefault="00147B2A" w:rsidP="00147B2A">
      <w:pPr>
        <w:tabs>
          <w:tab w:val="left" w:pos="720"/>
        </w:tabs>
        <w:ind w:left="720" w:hanging="720"/>
        <w:rPr>
          <w:szCs w:val="24"/>
        </w:rPr>
      </w:pPr>
      <w:r w:rsidRPr="00ED6B47">
        <w:rPr>
          <w:szCs w:val="24"/>
        </w:rPr>
        <w:t xml:space="preserve">Lillis, T., &amp; Curry, M.J. (2015). </w:t>
      </w:r>
      <w:r w:rsidRPr="00ED6B47">
        <w:rPr>
          <w:bCs/>
          <w:iCs/>
          <w:szCs w:val="24"/>
        </w:rPr>
        <w:t xml:space="preserve">The politics of English, language and uptake: The case of international academic journal article reviews. </w:t>
      </w:r>
      <w:r w:rsidRPr="00ED6B47">
        <w:rPr>
          <w:bCs/>
          <w:i/>
          <w:iCs/>
          <w:szCs w:val="24"/>
        </w:rPr>
        <w:t>AILA Review</w:t>
      </w:r>
      <w:r w:rsidRPr="00ED6B47">
        <w:rPr>
          <w:bCs/>
          <w:iCs/>
          <w:szCs w:val="24"/>
        </w:rPr>
        <w:t xml:space="preserve">, </w:t>
      </w:r>
      <w:r w:rsidRPr="00ED6B47">
        <w:rPr>
          <w:szCs w:val="24"/>
        </w:rPr>
        <w:t>28(1), 127-150. DOI:10.1075/aila.28.06lil.</w:t>
      </w:r>
    </w:p>
    <w:p w14:paraId="179B3D3F" w14:textId="77777777" w:rsidR="00F471C3" w:rsidRDefault="00F471C3" w:rsidP="00147B2A">
      <w:pPr>
        <w:tabs>
          <w:tab w:val="left" w:pos="720"/>
        </w:tabs>
        <w:ind w:left="720" w:hanging="720"/>
        <w:rPr>
          <w:szCs w:val="24"/>
        </w:rPr>
      </w:pPr>
    </w:p>
    <w:p w14:paraId="3F2204FB" w14:textId="6ECF090D" w:rsidR="00147B2A" w:rsidRPr="00ED6B47" w:rsidRDefault="00147B2A" w:rsidP="00147B2A">
      <w:pPr>
        <w:tabs>
          <w:tab w:val="left" w:pos="720"/>
        </w:tabs>
        <w:ind w:left="720" w:hanging="720"/>
        <w:rPr>
          <w:szCs w:val="24"/>
        </w:rPr>
      </w:pPr>
      <w:r w:rsidRPr="00ED6B47">
        <w:rPr>
          <w:szCs w:val="24"/>
        </w:rPr>
        <w:t xml:space="preserve">Curry, M.J., &amp; Lillis, T. (2014). Strategies and tactics in academic knowledge production by multilingual scholars. </w:t>
      </w:r>
      <w:r w:rsidRPr="00ED6B47">
        <w:rPr>
          <w:i/>
          <w:szCs w:val="24"/>
        </w:rPr>
        <w:t>Educational Policy Analysis Archives, 22</w:t>
      </w:r>
      <w:r w:rsidRPr="00ED6B47">
        <w:rPr>
          <w:szCs w:val="24"/>
        </w:rPr>
        <w:t xml:space="preserve">(31). Available at: </w:t>
      </w:r>
      <w:hyperlink r:id="rId7" w:history="1">
        <w:r w:rsidRPr="00ED6B47">
          <w:rPr>
            <w:szCs w:val="24"/>
          </w:rPr>
          <w:t>http://dx.doi.org/10.14507/epaa.v22n32.2014</w:t>
        </w:r>
        <w:r w:rsidRPr="00ED6B47">
          <w:rPr>
            <w:szCs w:val="24"/>
            <w:u w:val="single" w:color="0000E9"/>
          </w:rPr>
          <w:t>[dx.doi.org]</w:t>
        </w:r>
      </w:hyperlink>
      <w:r w:rsidRPr="00ED6B47">
        <w:rPr>
          <w:szCs w:val="24"/>
        </w:rPr>
        <w:t>.</w:t>
      </w:r>
    </w:p>
    <w:p w14:paraId="675D8CEF" w14:textId="77777777" w:rsidR="00F471C3" w:rsidRDefault="00F471C3" w:rsidP="00147B2A">
      <w:pPr>
        <w:ind w:left="720" w:hanging="720"/>
        <w:rPr>
          <w:szCs w:val="24"/>
        </w:rPr>
      </w:pPr>
    </w:p>
    <w:p w14:paraId="27994BC8" w14:textId="398967BD" w:rsidR="00147B2A" w:rsidRPr="00ED6B47" w:rsidRDefault="00147B2A" w:rsidP="00147B2A">
      <w:pPr>
        <w:ind w:left="720" w:hanging="720"/>
        <w:rPr>
          <w:szCs w:val="24"/>
        </w:rPr>
      </w:pPr>
      <w:r w:rsidRPr="00ED6B47">
        <w:rPr>
          <w:szCs w:val="24"/>
        </w:rPr>
        <w:t xml:space="preserve">Lillis, T.M., &amp; Curry, M. J. (2013). English, scientific publishing and participation in the global knowledge economy. In E. </w:t>
      </w:r>
      <w:proofErr w:type="spellStart"/>
      <w:r w:rsidRPr="00ED6B47">
        <w:rPr>
          <w:szCs w:val="24"/>
        </w:rPr>
        <w:t>Ehrling</w:t>
      </w:r>
      <w:proofErr w:type="spellEnd"/>
      <w:r w:rsidRPr="00ED6B47">
        <w:rPr>
          <w:szCs w:val="24"/>
        </w:rPr>
        <w:t xml:space="preserve"> &amp; P. Sargeant (Eds.), </w:t>
      </w:r>
      <w:r w:rsidRPr="00ED6B47">
        <w:rPr>
          <w:i/>
          <w:szCs w:val="24"/>
        </w:rPr>
        <w:t xml:space="preserve">English and International Development </w:t>
      </w:r>
      <w:r w:rsidRPr="00ED6B47">
        <w:rPr>
          <w:szCs w:val="24"/>
        </w:rPr>
        <w:t>(pp. 220-242). Multilingual Matters.</w:t>
      </w:r>
    </w:p>
    <w:p w14:paraId="62E1ADCA" w14:textId="77777777" w:rsidR="00F471C3" w:rsidRDefault="00F471C3" w:rsidP="00147B2A">
      <w:pPr>
        <w:ind w:left="720" w:hanging="720"/>
        <w:rPr>
          <w:szCs w:val="24"/>
        </w:rPr>
      </w:pPr>
    </w:p>
    <w:p w14:paraId="02CF6A0B" w14:textId="0AF48D69" w:rsidR="00147B2A" w:rsidRPr="00ED6B47" w:rsidRDefault="00147B2A" w:rsidP="00147B2A">
      <w:pPr>
        <w:ind w:left="720" w:hanging="720"/>
        <w:rPr>
          <w:szCs w:val="24"/>
        </w:rPr>
      </w:pPr>
      <w:r w:rsidRPr="00ED6B47">
        <w:rPr>
          <w:szCs w:val="24"/>
        </w:rPr>
        <w:t xml:space="preserve">Curry, M.J. &amp; Lillis, T.M. (2013). </w:t>
      </w:r>
      <w:r w:rsidRPr="00ED6B47">
        <w:rPr>
          <w:i/>
          <w:szCs w:val="24"/>
        </w:rPr>
        <w:t>A scholar’s guide to publishing journal articles in English: Critical choices, practical strategies.</w:t>
      </w:r>
      <w:r w:rsidRPr="00ED6B47">
        <w:rPr>
          <w:szCs w:val="24"/>
        </w:rPr>
        <w:t xml:space="preserve"> Multilingual Matters.</w:t>
      </w:r>
    </w:p>
    <w:p w14:paraId="351ADF2C" w14:textId="77777777" w:rsidR="00F471C3" w:rsidRDefault="00F471C3" w:rsidP="00147B2A">
      <w:pPr>
        <w:ind w:left="720" w:hanging="720"/>
        <w:rPr>
          <w:szCs w:val="24"/>
        </w:rPr>
      </w:pPr>
    </w:p>
    <w:p w14:paraId="2051844B" w14:textId="06D50484" w:rsidR="00147B2A" w:rsidRPr="00ED6B47" w:rsidRDefault="00147B2A" w:rsidP="00147B2A">
      <w:pPr>
        <w:ind w:left="720" w:hanging="720"/>
        <w:rPr>
          <w:szCs w:val="24"/>
        </w:rPr>
      </w:pPr>
      <w:r w:rsidRPr="00ED6B47">
        <w:rPr>
          <w:szCs w:val="24"/>
        </w:rPr>
        <w:t xml:space="preserve">Lillis, T.M. &amp; Curry, M.J. (2010). </w:t>
      </w:r>
      <w:r w:rsidRPr="00ED6B47">
        <w:rPr>
          <w:bCs/>
          <w:i/>
          <w:szCs w:val="24"/>
        </w:rPr>
        <w:t>Academic writing in a global context</w:t>
      </w:r>
      <w:r w:rsidRPr="00ED6B47">
        <w:rPr>
          <w:i/>
          <w:szCs w:val="24"/>
        </w:rPr>
        <w:t xml:space="preserve">: </w:t>
      </w:r>
      <w:r w:rsidRPr="00ED6B47">
        <w:rPr>
          <w:bCs/>
          <w:i/>
          <w:iCs/>
          <w:szCs w:val="24"/>
        </w:rPr>
        <w:t>The politics and practices of publishing in English</w:t>
      </w:r>
      <w:r w:rsidRPr="00ED6B47">
        <w:rPr>
          <w:bCs/>
          <w:iCs/>
          <w:szCs w:val="24"/>
        </w:rPr>
        <w:t>. Routledge.</w:t>
      </w:r>
    </w:p>
    <w:p w14:paraId="3A20FDF8" w14:textId="77777777" w:rsidR="00F471C3" w:rsidRDefault="00F471C3" w:rsidP="00147B2A">
      <w:pPr>
        <w:ind w:left="720" w:hanging="720"/>
        <w:rPr>
          <w:szCs w:val="24"/>
        </w:rPr>
      </w:pPr>
    </w:p>
    <w:p w14:paraId="1725F2E5" w14:textId="62F05CB2" w:rsidR="00147B2A" w:rsidRPr="00ED6B47" w:rsidRDefault="00147B2A" w:rsidP="00147B2A">
      <w:pPr>
        <w:ind w:left="720" w:hanging="720"/>
        <w:rPr>
          <w:szCs w:val="24"/>
        </w:rPr>
      </w:pPr>
      <w:r w:rsidRPr="00ED6B47">
        <w:rPr>
          <w:szCs w:val="24"/>
        </w:rPr>
        <w:t xml:space="preserve">Curry, M.J., &amp; T.M. Lillis. (2010). Academic research networks: Accessing resources for English-medium publishing. </w:t>
      </w:r>
      <w:r w:rsidRPr="00ED6B47">
        <w:rPr>
          <w:i/>
          <w:szCs w:val="24"/>
        </w:rPr>
        <w:t>English for Specific Purposes, 29</w:t>
      </w:r>
      <w:r w:rsidRPr="00ED6B47">
        <w:rPr>
          <w:szCs w:val="24"/>
        </w:rPr>
        <w:t xml:space="preserve">(4), 281-295. </w:t>
      </w:r>
    </w:p>
    <w:p w14:paraId="28107A6F" w14:textId="77777777" w:rsidR="00F471C3" w:rsidRDefault="00F471C3" w:rsidP="00147B2A">
      <w:pPr>
        <w:tabs>
          <w:tab w:val="left" w:pos="720"/>
        </w:tabs>
        <w:ind w:left="720" w:hanging="720"/>
        <w:rPr>
          <w:szCs w:val="24"/>
        </w:rPr>
      </w:pPr>
    </w:p>
    <w:p w14:paraId="25E3E946" w14:textId="1EBBDCC0" w:rsidR="00147B2A" w:rsidRPr="00ED6B47" w:rsidRDefault="00147B2A" w:rsidP="00147B2A">
      <w:pPr>
        <w:tabs>
          <w:tab w:val="left" w:pos="720"/>
        </w:tabs>
        <w:ind w:left="720" w:hanging="720"/>
        <w:rPr>
          <w:bCs/>
          <w:szCs w:val="24"/>
        </w:rPr>
      </w:pPr>
      <w:r w:rsidRPr="00ED6B47">
        <w:rPr>
          <w:szCs w:val="24"/>
        </w:rPr>
        <w:t xml:space="preserve">Lillis, T., Hewings, A., Vladimirou, D., &amp; Curry, M.J. (2010). </w:t>
      </w:r>
      <w:r w:rsidRPr="00ED6B47">
        <w:rPr>
          <w:bCs/>
          <w:iCs/>
          <w:szCs w:val="24"/>
        </w:rPr>
        <w:t>The geolinguistics of English as an Academic lingua franca: Citation practices across English-medium national and English-medium international journals.</w:t>
      </w:r>
      <w:r w:rsidRPr="00ED6B47">
        <w:rPr>
          <w:szCs w:val="24"/>
        </w:rPr>
        <w:t xml:space="preserve"> </w:t>
      </w:r>
      <w:r w:rsidRPr="00ED6B47">
        <w:rPr>
          <w:i/>
          <w:iCs/>
          <w:szCs w:val="24"/>
        </w:rPr>
        <w:t>International Journal of Applied Linguistics,</w:t>
      </w:r>
      <w:r w:rsidRPr="00ED6B47">
        <w:rPr>
          <w:szCs w:val="24"/>
        </w:rPr>
        <w:t xml:space="preserve"> </w:t>
      </w:r>
      <w:r w:rsidRPr="00ED6B47">
        <w:rPr>
          <w:i/>
          <w:color w:val="000000"/>
          <w:szCs w:val="24"/>
        </w:rPr>
        <w:t>20</w:t>
      </w:r>
      <w:r w:rsidRPr="00ED6B47">
        <w:rPr>
          <w:color w:val="000000"/>
          <w:szCs w:val="24"/>
        </w:rPr>
        <w:t xml:space="preserve">(1), </w:t>
      </w:r>
      <w:r w:rsidRPr="00ED6B47">
        <w:rPr>
          <w:bCs/>
          <w:szCs w:val="24"/>
        </w:rPr>
        <w:t xml:space="preserve">111-135. </w:t>
      </w:r>
    </w:p>
    <w:p w14:paraId="758CE878" w14:textId="77777777" w:rsidR="00F471C3" w:rsidRDefault="00F471C3" w:rsidP="00147B2A">
      <w:pPr>
        <w:tabs>
          <w:tab w:val="left" w:pos="720"/>
        </w:tabs>
        <w:ind w:left="720" w:hanging="720"/>
        <w:rPr>
          <w:szCs w:val="24"/>
        </w:rPr>
      </w:pPr>
    </w:p>
    <w:p w14:paraId="3378F11B" w14:textId="1B35AF25" w:rsidR="00147B2A" w:rsidRPr="00ED6B47" w:rsidRDefault="00147B2A" w:rsidP="00147B2A">
      <w:pPr>
        <w:tabs>
          <w:tab w:val="left" w:pos="720"/>
        </w:tabs>
        <w:ind w:left="720" w:hanging="720"/>
        <w:rPr>
          <w:i/>
          <w:szCs w:val="24"/>
        </w:rPr>
      </w:pPr>
      <w:r w:rsidRPr="00ED6B47">
        <w:rPr>
          <w:szCs w:val="24"/>
        </w:rPr>
        <w:t xml:space="preserve">Curry, M.J., &amp; Lillis, T.M. (2008). Designing research-based heuristics to support English-medium academic publishing. </w:t>
      </w:r>
      <w:r w:rsidRPr="00ED6B47">
        <w:rPr>
          <w:i/>
          <w:szCs w:val="24"/>
        </w:rPr>
        <w:t>International Journal of Applied Linguistics, 156</w:t>
      </w:r>
      <w:r w:rsidRPr="00ED6B47">
        <w:rPr>
          <w:szCs w:val="24"/>
        </w:rPr>
        <w:t>, 29-30</w:t>
      </w:r>
      <w:r w:rsidRPr="00ED6B47">
        <w:rPr>
          <w:i/>
          <w:szCs w:val="24"/>
        </w:rPr>
        <w:t>.</w:t>
      </w:r>
    </w:p>
    <w:p w14:paraId="767F5E8C" w14:textId="77777777" w:rsidR="00F471C3" w:rsidRDefault="00F471C3" w:rsidP="00147B2A">
      <w:pPr>
        <w:tabs>
          <w:tab w:val="left" w:pos="720"/>
        </w:tabs>
        <w:ind w:left="720" w:hanging="720"/>
        <w:rPr>
          <w:szCs w:val="24"/>
        </w:rPr>
      </w:pPr>
    </w:p>
    <w:p w14:paraId="41C66802" w14:textId="39BF2F1E" w:rsidR="00147B2A" w:rsidRPr="00ED6B47" w:rsidRDefault="00147B2A" w:rsidP="00147B2A">
      <w:pPr>
        <w:tabs>
          <w:tab w:val="left" w:pos="720"/>
        </w:tabs>
        <w:ind w:left="720" w:hanging="720"/>
        <w:rPr>
          <w:i/>
          <w:szCs w:val="24"/>
          <w:lang w:val="es-ES"/>
        </w:rPr>
      </w:pPr>
      <w:r w:rsidRPr="00ED6B47">
        <w:rPr>
          <w:szCs w:val="24"/>
        </w:rPr>
        <w:t xml:space="preserve">Lillis, T.M., &amp; Curry, M.J. (2006). Reframing notions of competence in scholarly writing: From individual to networked activity. </w:t>
      </w:r>
      <w:r w:rsidRPr="00ED6B47">
        <w:rPr>
          <w:i/>
          <w:szCs w:val="24"/>
          <w:lang w:val="es-ES"/>
        </w:rPr>
        <w:t>Revista Canaria de Estudios Ingleses, 53</w:t>
      </w:r>
      <w:r w:rsidRPr="00ED6B47">
        <w:rPr>
          <w:szCs w:val="24"/>
          <w:lang w:val="es-ES"/>
        </w:rPr>
        <w:t>, 63-78</w:t>
      </w:r>
      <w:r w:rsidRPr="00ED6B47">
        <w:rPr>
          <w:i/>
          <w:szCs w:val="24"/>
          <w:lang w:val="es-ES"/>
        </w:rPr>
        <w:t>.</w:t>
      </w:r>
    </w:p>
    <w:p w14:paraId="3504E0AA" w14:textId="77777777" w:rsidR="00F471C3" w:rsidRDefault="00F471C3" w:rsidP="00147B2A">
      <w:pPr>
        <w:tabs>
          <w:tab w:val="left" w:pos="720"/>
        </w:tabs>
        <w:ind w:left="720" w:hanging="720"/>
        <w:rPr>
          <w:szCs w:val="24"/>
          <w:lang w:val="es-ES"/>
        </w:rPr>
      </w:pPr>
    </w:p>
    <w:p w14:paraId="7390EE57" w14:textId="0F5B1A19" w:rsidR="00147B2A" w:rsidRPr="00ED6B47" w:rsidRDefault="00147B2A" w:rsidP="00147B2A">
      <w:pPr>
        <w:tabs>
          <w:tab w:val="left" w:pos="720"/>
        </w:tabs>
        <w:ind w:left="720" w:hanging="720"/>
        <w:rPr>
          <w:szCs w:val="24"/>
        </w:rPr>
      </w:pPr>
      <w:r w:rsidRPr="00ED6B47">
        <w:rPr>
          <w:szCs w:val="24"/>
          <w:lang w:val="es-ES"/>
        </w:rPr>
        <w:t xml:space="preserve">Lillis, T.M., &amp; Curry, M.J. (2006). </w:t>
      </w:r>
      <w:r w:rsidRPr="00ED6B47">
        <w:rPr>
          <w:szCs w:val="24"/>
        </w:rPr>
        <w:t xml:space="preserve">Professional academic writing by multilingual scholars: Interactions with literacy brokers in the production of English-medium texts. </w:t>
      </w:r>
      <w:r w:rsidRPr="00ED6B47">
        <w:rPr>
          <w:i/>
          <w:szCs w:val="24"/>
        </w:rPr>
        <w:t>Written Communication, 23</w:t>
      </w:r>
      <w:r w:rsidRPr="00ED6B47">
        <w:rPr>
          <w:szCs w:val="24"/>
        </w:rPr>
        <w:t>(1), 3-35.</w:t>
      </w:r>
    </w:p>
    <w:p w14:paraId="7ECD11D5" w14:textId="77777777" w:rsidR="00F471C3" w:rsidRDefault="00F471C3" w:rsidP="00147B2A">
      <w:pPr>
        <w:tabs>
          <w:tab w:val="left" w:pos="720"/>
        </w:tabs>
        <w:ind w:left="720" w:hanging="720"/>
        <w:rPr>
          <w:szCs w:val="24"/>
        </w:rPr>
      </w:pPr>
    </w:p>
    <w:p w14:paraId="0630933C" w14:textId="1C321FDA" w:rsidR="00EB7635" w:rsidRPr="00F471C3" w:rsidRDefault="00147B2A" w:rsidP="00F471C3">
      <w:pPr>
        <w:tabs>
          <w:tab w:val="left" w:pos="720"/>
        </w:tabs>
        <w:ind w:left="720" w:hanging="720"/>
        <w:rPr>
          <w:szCs w:val="24"/>
        </w:rPr>
      </w:pPr>
      <w:r w:rsidRPr="00ED6B47">
        <w:rPr>
          <w:szCs w:val="24"/>
        </w:rPr>
        <w:t xml:space="preserve">Curry, M.J., &amp; Lillis, T.M. (2004). Multilingual scholars and the imperative to publish in English: Negotiating interests, demands, and rewards. </w:t>
      </w:r>
      <w:r w:rsidRPr="00ED6B47">
        <w:rPr>
          <w:i/>
          <w:szCs w:val="24"/>
        </w:rPr>
        <w:t>TESOL Quarterly, 38</w:t>
      </w:r>
      <w:r w:rsidRPr="00ED6B47">
        <w:rPr>
          <w:szCs w:val="24"/>
        </w:rPr>
        <w:t>(4), 663-688.</w:t>
      </w:r>
    </w:p>
    <w:sectPr w:rsidR="00EB7635" w:rsidRPr="00F471C3" w:rsidSect="00C97B16">
      <w:footerReference w:type="default" r:id="rId8"/>
      <w:pgSz w:w="12240" w:h="15840"/>
      <w:pgMar w:top="567"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952F" w14:textId="77777777" w:rsidR="00223B51" w:rsidRDefault="00223B51" w:rsidP="00C97B16">
      <w:r>
        <w:separator/>
      </w:r>
    </w:p>
  </w:endnote>
  <w:endnote w:type="continuationSeparator" w:id="0">
    <w:p w14:paraId="41EDF6EF" w14:textId="77777777" w:rsidR="00223B51" w:rsidRDefault="00223B51" w:rsidP="00C9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743394"/>
      <w:docPartObj>
        <w:docPartGallery w:val="Page Numbers (Bottom of Page)"/>
        <w:docPartUnique/>
      </w:docPartObj>
    </w:sdtPr>
    <w:sdtEndPr>
      <w:rPr>
        <w:noProof/>
      </w:rPr>
    </w:sdtEndPr>
    <w:sdtContent>
      <w:p w14:paraId="1FE411D7" w14:textId="43A667BE" w:rsidR="00C97B16" w:rsidRDefault="00C97B16">
        <w:pPr>
          <w:pStyle w:val="Footer"/>
          <w:jc w:val="center"/>
        </w:pPr>
        <w:r>
          <w:fldChar w:fldCharType="begin"/>
        </w:r>
        <w:r>
          <w:instrText xml:space="preserve"> PAGE   \* MERGEFORMAT </w:instrText>
        </w:r>
        <w:r>
          <w:fldChar w:fldCharType="separate"/>
        </w:r>
        <w:r w:rsidR="00CF4D23">
          <w:rPr>
            <w:noProof/>
          </w:rPr>
          <w:t>3</w:t>
        </w:r>
        <w:r>
          <w:rPr>
            <w:noProof/>
          </w:rPr>
          <w:fldChar w:fldCharType="end"/>
        </w:r>
      </w:p>
    </w:sdtContent>
  </w:sdt>
  <w:p w14:paraId="4B6A7437" w14:textId="77777777" w:rsidR="00C97B16" w:rsidRDefault="00C97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80A6" w14:textId="77777777" w:rsidR="00223B51" w:rsidRDefault="00223B51" w:rsidP="00C97B16">
      <w:r>
        <w:separator/>
      </w:r>
    </w:p>
  </w:footnote>
  <w:footnote w:type="continuationSeparator" w:id="0">
    <w:p w14:paraId="1A0B0FC3" w14:textId="77777777" w:rsidR="00223B51" w:rsidRDefault="00223B51" w:rsidP="00C97B16">
      <w:r>
        <w:continuationSeparator/>
      </w:r>
    </w:p>
  </w:footnote>
  <w:footnote w:id="1">
    <w:p w14:paraId="7603DB84" w14:textId="77777777" w:rsidR="00E53175" w:rsidRPr="00C576BC" w:rsidRDefault="00E53175" w:rsidP="00E53175">
      <w:pPr>
        <w:pStyle w:val="FootnoteText"/>
        <w:rPr>
          <w:rFonts w:ascii="Times New Roman" w:hAnsi="Times New Roman" w:cs="Times New Roman"/>
          <w:lang w:val="en-US"/>
        </w:rPr>
      </w:pPr>
      <w:r>
        <w:rPr>
          <w:rStyle w:val="FootnoteReference"/>
        </w:rPr>
        <w:footnoteRef/>
      </w:r>
      <w:r>
        <w:t xml:space="preserve"> </w:t>
      </w:r>
      <w:r w:rsidRPr="00C576BC">
        <w:rPr>
          <w:rFonts w:ascii="Times New Roman" w:hAnsi="Times New Roman" w:cs="Times New Roman"/>
          <w:lang w:val="en-US"/>
        </w:rPr>
        <w:t>Possible identifying features of extracts have been removed.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3272"/>
    <w:multiLevelType w:val="hybridMultilevel"/>
    <w:tmpl w:val="F4529508"/>
    <w:lvl w:ilvl="0" w:tplc="7778C76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2B575A"/>
    <w:multiLevelType w:val="hybridMultilevel"/>
    <w:tmpl w:val="B9080772"/>
    <w:lvl w:ilvl="0" w:tplc="E3CA3806">
      <w:start w:val="1"/>
      <w:numFmt w:val="bullet"/>
      <w:lvlText w:val="•"/>
      <w:lvlJc w:val="left"/>
      <w:pPr>
        <w:tabs>
          <w:tab w:val="num" w:pos="720"/>
        </w:tabs>
        <w:ind w:left="720" w:hanging="360"/>
      </w:pPr>
      <w:rPr>
        <w:rFonts w:ascii="Arial" w:hAnsi="Arial" w:hint="default"/>
      </w:rPr>
    </w:lvl>
    <w:lvl w:ilvl="1" w:tplc="8DC8CDC6" w:tentative="1">
      <w:start w:val="1"/>
      <w:numFmt w:val="bullet"/>
      <w:lvlText w:val="•"/>
      <w:lvlJc w:val="left"/>
      <w:pPr>
        <w:tabs>
          <w:tab w:val="num" w:pos="1440"/>
        </w:tabs>
        <w:ind w:left="1440" w:hanging="360"/>
      </w:pPr>
      <w:rPr>
        <w:rFonts w:ascii="Arial" w:hAnsi="Arial" w:hint="default"/>
      </w:rPr>
    </w:lvl>
    <w:lvl w:ilvl="2" w:tplc="B4B8AD50" w:tentative="1">
      <w:start w:val="1"/>
      <w:numFmt w:val="bullet"/>
      <w:lvlText w:val="•"/>
      <w:lvlJc w:val="left"/>
      <w:pPr>
        <w:tabs>
          <w:tab w:val="num" w:pos="2160"/>
        </w:tabs>
        <w:ind w:left="2160" w:hanging="360"/>
      </w:pPr>
      <w:rPr>
        <w:rFonts w:ascii="Arial" w:hAnsi="Arial" w:hint="default"/>
      </w:rPr>
    </w:lvl>
    <w:lvl w:ilvl="3" w:tplc="82FC7F46" w:tentative="1">
      <w:start w:val="1"/>
      <w:numFmt w:val="bullet"/>
      <w:lvlText w:val="•"/>
      <w:lvlJc w:val="left"/>
      <w:pPr>
        <w:tabs>
          <w:tab w:val="num" w:pos="2880"/>
        </w:tabs>
        <w:ind w:left="2880" w:hanging="360"/>
      </w:pPr>
      <w:rPr>
        <w:rFonts w:ascii="Arial" w:hAnsi="Arial" w:hint="default"/>
      </w:rPr>
    </w:lvl>
    <w:lvl w:ilvl="4" w:tplc="3656D9B4" w:tentative="1">
      <w:start w:val="1"/>
      <w:numFmt w:val="bullet"/>
      <w:lvlText w:val="•"/>
      <w:lvlJc w:val="left"/>
      <w:pPr>
        <w:tabs>
          <w:tab w:val="num" w:pos="3600"/>
        </w:tabs>
        <w:ind w:left="3600" w:hanging="360"/>
      </w:pPr>
      <w:rPr>
        <w:rFonts w:ascii="Arial" w:hAnsi="Arial" w:hint="default"/>
      </w:rPr>
    </w:lvl>
    <w:lvl w:ilvl="5" w:tplc="879E43B4" w:tentative="1">
      <w:start w:val="1"/>
      <w:numFmt w:val="bullet"/>
      <w:lvlText w:val="•"/>
      <w:lvlJc w:val="left"/>
      <w:pPr>
        <w:tabs>
          <w:tab w:val="num" w:pos="4320"/>
        </w:tabs>
        <w:ind w:left="4320" w:hanging="360"/>
      </w:pPr>
      <w:rPr>
        <w:rFonts w:ascii="Arial" w:hAnsi="Arial" w:hint="default"/>
      </w:rPr>
    </w:lvl>
    <w:lvl w:ilvl="6" w:tplc="DA30E82C" w:tentative="1">
      <w:start w:val="1"/>
      <w:numFmt w:val="bullet"/>
      <w:lvlText w:val="•"/>
      <w:lvlJc w:val="left"/>
      <w:pPr>
        <w:tabs>
          <w:tab w:val="num" w:pos="5040"/>
        </w:tabs>
        <w:ind w:left="5040" w:hanging="360"/>
      </w:pPr>
      <w:rPr>
        <w:rFonts w:ascii="Arial" w:hAnsi="Arial" w:hint="default"/>
      </w:rPr>
    </w:lvl>
    <w:lvl w:ilvl="7" w:tplc="A664CB26" w:tentative="1">
      <w:start w:val="1"/>
      <w:numFmt w:val="bullet"/>
      <w:lvlText w:val="•"/>
      <w:lvlJc w:val="left"/>
      <w:pPr>
        <w:tabs>
          <w:tab w:val="num" w:pos="5760"/>
        </w:tabs>
        <w:ind w:left="5760" w:hanging="360"/>
      </w:pPr>
      <w:rPr>
        <w:rFonts w:ascii="Arial" w:hAnsi="Arial" w:hint="default"/>
      </w:rPr>
    </w:lvl>
    <w:lvl w:ilvl="8" w:tplc="0C6274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8103D9"/>
    <w:multiLevelType w:val="hybridMultilevel"/>
    <w:tmpl w:val="7E1EBBF6"/>
    <w:lvl w:ilvl="0" w:tplc="63C4B46C">
      <w:start w:val="1"/>
      <w:numFmt w:val="bullet"/>
      <w:lvlText w:val="•"/>
      <w:lvlJc w:val="left"/>
      <w:pPr>
        <w:tabs>
          <w:tab w:val="num" w:pos="720"/>
        </w:tabs>
        <w:ind w:left="720" w:hanging="360"/>
      </w:pPr>
      <w:rPr>
        <w:rFonts w:ascii="Arial" w:hAnsi="Arial" w:hint="default"/>
      </w:rPr>
    </w:lvl>
    <w:lvl w:ilvl="1" w:tplc="3F749F46" w:tentative="1">
      <w:start w:val="1"/>
      <w:numFmt w:val="bullet"/>
      <w:lvlText w:val="•"/>
      <w:lvlJc w:val="left"/>
      <w:pPr>
        <w:tabs>
          <w:tab w:val="num" w:pos="1440"/>
        </w:tabs>
        <w:ind w:left="1440" w:hanging="360"/>
      </w:pPr>
      <w:rPr>
        <w:rFonts w:ascii="Arial" w:hAnsi="Arial" w:hint="default"/>
      </w:rPr>
    </w:lvl>
    <w:lvl w:ilvl="2" w:tplc="F1947B4A" w:tentative="1">
      <w:start w:val="1"/>
      <w:numFmt w:val="bullet"/>
      <w:lvlText w:val="•"/>
      <w:lvlJc w:val="left"/>
      <w:pPr>
        <w:tabs>
          <w:tab w:val="num" w:pos="2160"/>
        </w:tabs>
        <w:ind w:left="2160" w:hanging="360"/>
      </w:pPr>
      <w:rPr>
        <w:rFonts w:ascii="Arial" w:hAnsi="Arial" w:hint="default"/>
      </w:rPr>
    </w:lvl>
    <w:lvl w:ilvl="3" w:tplc="44B086D8" w:tentative="1">
      <w:start w:val="1"/>
      <w:numFmt w:val="bullet"/>
      <w:lvlText w:val="•"/>
      <w:lvlJc w:val="left"/>
      <w:pPr>
        <w:tabs>
          <w:tab w:val="num" w:pos="2880"/>
        </w:tabs>
        <w:ind w:left="2880" w:hanging="360"/>
      </w:pPr>
      <w:rPr>
        <w:rFonts w:ascii="Arial" w:hAnsi="Arial" w:hint="default"/>
      </w:rPr>
    </w:lvl>
    <w:lvl w:ilvl="4" w:tplc="7318F3C4" w:tentative="1">
      <w:start w:val="1"/>
      <w:numFmt w:val="bullet"/>
      <w:lvlText w:val="•"/>
      <w:lvlJc w:val="left"/>
      <w:pPr>
        <w:tabs>
          <w:tab w:val="num" w:pos="3600"/>
        </w:tabs>
        <w:ind w:left="3600" w:hanging="360"/>
      </w:pPr>
      <w:rPr>
        <w:rFonts w:ascii="Arial" w:hAnsi="Arial" w:hint="default"/>
      </w:rPr>
    </w:lvl>
    <w:lvl w:ilvl="5" w:tplc="567AEDF6" w:tentative="1">
      <w:start w:val="1"/>
      <w:numFmt w:val="bullet"/>
      <w:lvlText w:val="•"/>
      <w:lvlJc w:val="left"/>
      <w:pPr>
        <w:tabs>
          <w:tab w:val="num" w:pos="4320"/>
        </w:tabs>
        <w:ind w:left="4320" w:hanging="360"/>
      </w:pPr>
      <w:rPr>
        <w:rFonts w:ascii="Arial" w:hAnsi="Arial" w:hint="default"/>
      </w:rPr>
    </w:lvl>
    <w:lvl w:ilvl="6" w:tplc="96A2561C" w:tentative="1">
      <w:start w:val="1"/>
      <w:numFmt w:val="bullet"/>
      <w:lvlText w:val="•"/>
      <w:lvlJc w:val="left"/>
      <w:pPr>
        <w:tabs>
          <w:tab w:val="num" w:pos="5040"/>
        </w:tabs>
        <w:ind w:left="5040" w:hanging="360"/>
      </w:pPr>
      <w:rPr>
        <w:rFonts w:ascii="Arial" w:hAnsi="Arial" w:hint="default"/>
      </w:rPr>
    </w:lvl>
    <w:lvl w:ilvl="7" w:tplc="FD7AFFE8" w:tentative="1">
      <w:start w:val="1"/>
      <w:numFmt w:val="bullet"/>
      <w:lvlText w:val="•"/>
      <w:lvlJc w:val="left"/>
      <w:pPr>
        <w:tabs>
          <w:tab w:val="num" w:pos="5760"/>
        </w:tabs>
        <w:ind w:left="5760" w:hanging="360"/>
      </w:pPr>
      <w:rPr>
        <w:rFonts w:ascii="Arial" w:hAnsi="Arial" w:hint="default"/>
      </w:rPr>
    </w:lvl>
    <w:lvl w:ilvl="8" w:tplc="104A6D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D230F3"/>
    <w:multiLevelType w:val="hybridMultilevel"/>
    <w:tmpl w:val="142ACE38"/>
    <w:lvl w:ilvl="0" w:tplc="DFB4B564">
      <w:start w:val="1"/>
      <w:numFmt w:val="bullet"/>
      <w:lvlText w:val="•"/>
      <w:lvlJc w:val="left"/>
      <w:pPr>
        <w:tabs>
          <w:tab w:val="num" w:pos="720"/>
        </w:tabs>
        <w:ind w:left="720" w:hanging="360"/>
      </w:pPr>
      <w:rPr>
        <w:rFonts w:ascii="Arial" w:hAnsi="Arial" w:hint="default"/>
      </w:rPr>
    </w:lvl>
    <w:lvl w:ilvl="1" w:tplc="2E6A108A" w:tentative="1">
      <w:start w:val="1"/>
      <w:numFmt w:val="bullet"/>
      <w:lvlText w:val="•"/>
      <w:lvlJc w:val="left"/>
      <w:pPr>
        <w:tabs>
          <w:tab w:val="num" w:pos="1440"/>
        </w:tabs>
        <w:ind w:left="1440" w:hanging="360"/>
      </w:pPr>
      <w:rPr>
        <w:rFonts w:ascii="Arial" w:hAnsi="Arial" w:hint="default"/>
      </w:rPr>
    </w:lvl>
    <w:lvl w:ilvl="2" w:tplc="E36AEFA6" w:tentative="1">
      <w:start w:val="1"/>
      <w:numFmt w:val="bullet"/>
      <w:lvlText w:val="•"/>
      <w:lvlJc w:val="left"/>
      <w:pPr>
        <w:tabs>
          <w:tab w:val="num" w:pos="2160"/>
        </w:tabs>
        <w:ind w:left="2160" w:hanging="360"/>
      </w:pPr>
      <w:rPr>
        <w:rFonts w:ascii="Arial" w:hAnsi="Arial" w:hint="default"/>
      </w:rPr>
    </w:lvl>
    <w:lvl w:ilvl="3" w:tplc="69429B3C" w:tentative="1">
      <w:start w:val="1"/>
      <w:numFmt w:val="bullet"/>
      <w:lvlText w:val="•"/>
      <w:lvlJc w:val="left"/>
      <w:pPr>
        <w:tabs>
          <w:tab w:val="num" w:pos="2880"/>
        </w:tabs>
        <w:ind w:left="2880" w:hanging="360"/>
      </w:pPr>
      <w:rPr>
        <w:rFonts w:ascii="Arial" w:hAnsi="Arial" w:hint="default"/>
      </w:rPr>
    </w:lvl>
    <w:lvl w:ilvl="4" w:tplc="C6262354" w:tentative="1">
      <w:start w:val="1"/>
      <w:numFmt w:val="bullet"/>
      <w:lvlText w:val="•"/>
      <w:lvlJc w:val="left"/>
      <w:pPr>
        <w:tabs>
          <w:tab w:val="num" w:pos="3600"/>
        </w:tabs>
        <w:ind w:left="3600" w:hanging="360"/>
      </w:pPr>
      <w:rPr>
        <w:rFonts w:ascii="Arial" w:hAnsi="Arial" w:hint="default"/>
      </w:rPr>
    </w:lvl>
    <w:lvl w:ilvl="5" w:tplc="C7021942" w:tentative="1">
      <w:start w:val="1"/>
      <w:numFmt w:val="bullet"/>
      <w:lvlText w:val="•"/>
      <w:lvlJc w:val="left"/>
      <w:pPr>
        <w:tabs>
          <w:tab w:val="num" w:pos="4320"/>
        </w:tabs>
        <w:ind w:left="4320" w:hanging="360"/>
      </w:pPr>
      <w:rPr>
        <w:rFonts w:ascii="Arial" w:hAnsi="Arial" w:hint="default"/>
      </w:rPr>
    </w:lvl>
    <w:lvl w:ilvl="6" w:tplc="5D842D58" w:tentative="1">
      <w:start w:val="1"/>
      <w:numFmt w:val="bullet"/>
      <w:lvlText w:val="•"/>
      <w:lvlJc w:val="left"/>
      <w:pPr>
        <w:tabs>
          <w:tab w:val="num" w:pos="5040"/>
        </w:tabs>
        <w:ind w:left="5040" w:hanging="360"/>
      </w:pPr>
      <w:rPr>
        <w:rFonts w:ascii="Arial" w:hAnsi="Arial" w:hint="default"/>
      </w:rPr>
    </w:lvl>
    <w:lvl w:ilvl="7" w:tplc="01DCBD2A" w:tentative="1">
      <w:start w:val="1"/>
      <w:numFmt w:val="bullet"/>
      <w:lvlText w:val="•"/>
      <w:lvlJc w:val="left"/>
      <w:pPr>
        <w:tabs>
          <w:tab w:val="num" w:pos="5760"/>
        </w:tabs>
        <w:ind w:left="5760" w:hanging="360"/>
      </w:pPr>
      <w:rPr>
        <w:rFonts w:ascii="Arial" w:hAnsi="Arial" w:hint="default"/>
      </w:rPr>
    </w:lvl>
    <w:lvl w:ilvl="8" w:tplc="A34060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C3527B"/>
    <w:multiLevelType w:val="hybridMultilevel"/>
    <w:tmpl w:val="080635A8"/>
    <w:lvl w:ilvl="0" w:tplc="EB2A47E4">
      <w:start w:val="1"/>
      <w:numFmt w:val="lowerLetter"/>
      <w:lvlText w:val="%1)"/>
      <w:lvlJc w:val="left"/>
      <w:pPr>
        <w:tabs>
          <w:tab w:val="num" w:pos="720"/>
        </w:tabs>
        <w:ind w:left="720" w:hanging="360"/>
      </w:pPr>
    </w:lvl>
    <w:lvl w:ilvl="1" w:tplc="41C0C76A">
      <w:start w:val="1"/>
      <w:numFmt w:val="lowerLetter"/>
      <w:lvlText w:val="%2)"/>
      <w:lvlJc w:val="left"/>
      <w:pPr>
        <w:tabs>
          <w:tab w:val="num" w:pos="1440"/>
        </w:tabs>
        <w:ind w:left="1440" w:hanging="360"/>
      </w:pPr>
    </w:lvl>
    <w:lvl w:ilvl="2" w:tplc="CBF88F0C" w:tentative="1">
      <w:start w:val="1"/>
      <w:numFmt w:val="lowerLetter"/>
      <w:lvlText w:val="%3)"/>
      <w:lvlJc w:val="left"/>
      <w:pPr>
        <w:tabs>
          <w:tab w:val="num" w:pos="2160"/>
        </w:tabs>
        <w:ind w:left="2160" w:hanging="360"/>
      </w:pPr>
    </w:lvl>
    <w:lvl w:ilvl="3" w:tplc="68A0374E" w:tentative="1">
      <w:start w:val="1"/>
      <w:numFmt w:val="lowerLetter"/>
      <w:lvlText w:val="%4)"/>
      <w:lvlJc w:val="left"/>
      <w:pPr>
        <w:tabs>
          <w:tab w:val="num" w:pos="2880"/>
        </w:tabs>
        <w:ind w:left="2880" w:hanging="360"/>
      </w:pPr>
    </w:lvl>
    <w:lvl w:ilvl="4" w:tplc="F836B572" w:tentative="1">
      <w:start w:val="1"/>
      <w:numFmt w:val="lowerLetter"/>
      <w:lvlText w:val="%5)"/>
      <w:lvlJc w:val="left"/>
      <w:pPr>
        <w:tabs>
          <w:tab w:val="num" w:pos="3600"/>
        </w:tabs>
        <w:ind w:left="3600" w:hanging="360"/>
      </w:pPr>
    </w:lvl>
    <w:lvl w:ilvl="5" w:tplc="6FB4CD3C" w:tentative="1">
      <w:start w:val="1"/>
      <w:numFmt w:val="lowerLetter"/>
      <w:lvlText w:val="%6)"/>
      <w:lvlJc w:val="left"/>
      <w:pPr>
        <w:tabs>
          <w:tab w:val="num" w:pos="4320"/>
        </w:tabs>
        <w:ind w:left="4320" w:hanging="360"/>
      </w:pPr>
    </w:lvl>
    <w:lvl w:ilvl="6" w:tplc="08920528" w:tentative="1">
      <w:start w:val="1"/>
      <w:numFmt w:val="lowerLetter"/>
      <w:lvlText w:val="%7)"/>
      <w:lvlJc w:val="left"/>
      <w:pPr>
        <w:tabs>
          <w:tab w:val="num" w:pos="5040"/>
        </w:tabs>
        <w:ind w:left="5040" w:hanging="360"/>
      </w:pPr>
    </w:lvl>
    <w:lvl w:ilvl="7" w:tplc="4A8EA656" w:tentative="1">
      <w:start w:val="1"/>
      <w:numFmt w:val="lowerLetter"/>
      <w:lvlText w:val="%8)"/>
      <w:lvlJc w:val="left"/>
      <w:pPr>
        <w:tabs>
          <w:tab w:val="num" w:pos="5760"/>
        </w:tabs>
        <w:ind w:left="5760" w:hanging="360"/>
      </w:pPr>
    </w:lvl>
    <w:lvl w:ilvl="8" w:tplc="CA86F36C" w:tentative="1">
      <w:start w:val="1"/>
      <w:numFmt w:val="lowerLetter"/>
      <w:lvlText w:val="%9)"/>
      <w:lvlJc w:val="left"/>
      <w:pPr>
        <w:tabs>
          <w:tab w:val="num" w:pos="6480"/>
        </w:tabs>
        <w:ind w:left="6480" w:hanging="360"/>
      </w:pPr>
    </w:lvl>
  </w:abstractNum>
  <w:abstractNum w:abstractNumId="5" w15:restartNumberingAfterBreak="0">
    <w:nsid w:val="6FB006B4"/>
    <w:multiLevelType w:val="hybridMultilevel"/>
    <w:tmpl w:val="CAB8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02743"/>
    <w:multiLevelType w:val="hybridMultilevel"/>
    <w:tmpl w:val="50DEB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0E"/>
    <w:rsid w:val="00070C56"/>
    <w:rsid w:val="001412E0"/>
    <w:rsid w:val="00147B2A"/>
    <w:rsid w:val="00154EBA"/>
    <w:rsid w:val="00223B51"/>
    <w:rsid w:val="00272BCC"/>
    <w:rsid w:val="002858D9"/>
    <w:rsid w:val="002A5446"/>
    <w:rsid w:val="002A6151"/>
    <w:rsid w:val="002B5C28"/>
    <w:rsid w:val="003658F8"/>
    <w:rsid w:val="004067C4"/>
    <w:rsid w:val="004856BE"/>
    <w:rsid w:val="00492B0E"/>
    <w:rsid w:val="004E4B70"/>
    <w:rsid w:val="005E06AB"/>
    <w:rsid w:val="0067226E"/>
    <w:rsid w:val="0075076B"/>
    <w:rsid w:val="007E0812"/>
    <w:rsid w:val="008431F4"/>
    <w:rsid w:val="008842F0"/>
    <w:rsid w:val="008939C5"/>
    <w:rsid w:val="0095171C"/>
    <w:rsid w:val="00951B6E"/>
    <w:rsid w:val="009D37C1"/>
    <w:rsid w:val="00A22DAB"/>
    <w:rsid w:val="00A40F8D"/>
    <w:rsid w:val="00AE205B"/>
    <w:rsid w:val="00B10949"/>
    <w:rsid w:val="00B2480E"/>
    <w:rsid w:val="00B92585"/>
    <w:rsid w:val="00C16D30"/>
    <w:rsid w:val="00C6156D"/>
    <w:rsid w:val="00C97B16"/>
    <w:rsid w:val="00CA0AA2"/>
    <w:rsid w:val="00CE159B"/>
    <w:rsid w:val="00CF4D23"/>
    <w:rsid w:val="00D1282F"/>
    <w:rsid w:val="00D47704"/>
    <w:rsid w:val="00E06EA0"/>
    <w:rsid w:val="00E53175"/>
    <w:rsid w:val="00EB7635"/>
    <w:rsid w:val="00ED6B47"/>
    <w:rsid w:val="00F0033C"/>
    <w:rsid w:val="00F3726C"/>
    <w:rsid w:val="00F471C3"/>
    <w:rsid w:val="00F71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9DF78"/>
  <w15:docId w15:val="{FA81E417-0673-447E-AA4D-0305B5D2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0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2480E"/>
    <w:pPr>
      <w:keepNext/>
      <w:suppressAutoHyphen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80E"/>
    <w:rPr>
      <w:rFonts w:ascii="Times New Roman" w:eastAsia="Times New Roman" w:hAnsi="Times New Roman" w:cs="Times New Roman"/>
      <w:b/>
      <w:sz w:val="24"/>
      <w:szCs w:val="20"/>
    </w:rPr>
  </w:style>
  <w:style w:type="paragraph" w:styleId="TOC1">
    <w:name w:val="toc 1"/>
    <w:basedOn w:val="Normal"/>
    <w:next w:val="Normal"/>
    <w:semiHidden/>
    <w:rsid w:val="00B2480E"/>
    <w:pPr>
      <w:tabs>
        <w:tab w:val="left" w:leader="dot" w:pos="9000"/>
        <w:tab w:val="right" w:pos="9360"/>
      </w:tabs>
      <w:suppressAutoHyphens/>
      <w:spacing w:before="480"/>
      <w:ind w:left="720" w:right="720" w:hanging="720"/>
    </w:pPr>
  </w:style>
  <w:style w:type="character" w:styleId="Hyperlink">
    <w:name w:val="Hyperlink"/>
    <w:rsid w:val="00B2480E"/>
    <w:rPr>
      <w:color w:val="0000FF"/>
      <w:u w:val="single"/>
    </w:rPr>
  </w:style>
  <w:style w:type="paragraph" w:customStyle="1" w:styleId="Articletitle">
    <w:name w:val="Article title"/>
    <w:basedOn w:val="Normal"/>
    <w:qFormat/>
    <w:rsid w:val="00B2480E"/>
    <w:pPr>
      <w:spacing w:before="120" w:after="360"/>
    </w:pPr>
    <w:rPr>
      <w:b/>
      <w:sz w:val="36"/>
      <w:szCs w:val="24"/>
      <w:lang w:val="en-GB"/>
    </w:rPr>
  </w:style>
  <w:style w:type="paragraph" w:styleId="ListParagraph">
    <w:name w:val="List Paragraph"/>
    <w:basedOn w:val="Normal"/>
    <w:uiPriority w:val="34"/>
    <w:qFormat/>
    <w:rsid w:val="004E4B70"/>
    <w:pPr>
      <w:ind w:left="720"/>
      <w:contextualSpacing/>
    </w:pPr>
  </w:style>
  <w:style w:type="paragraph" w:styleId="NormalWeb">
    <w:name w:val="Normal (Web)"/>
    <w:basedOn w:val="Normal"/>
    <w:rsid w:val="004E4B70"/>
    <w:pPr>
      <w:spacing w:before="100" w:beforeAutospacing="1" w:after="100" w:afterAutospacing="1"/>
    </w:pPr>
    <w:rPr>
      <w:szCs w:val="24"/>
      <w:lang w:val="en-GB" w:eastAsia="en-GB"/>
    </w:rPr>
  </w:style>
  <w:style w:type="paragraph" w:styleId="Header">
    <w:name w:val="header"/>
    <w:basedOn w:val="Normal"/>
    <w:link w:val="HeaderChar"/>
    <w:uiPriority w:val="99"/>
    <w:unhideWhenUsed/>
    <w:rsid w:val="00C97B16"/>
    <w:pPr>
      <w:tabs>
        <w:tab w:val="center" w:pos="4513"/>
        <w:tab w:val="right" w:pos="9026"/>
      </w:tabs>
    </w:pPr>
  </w:style>
  <w:style w:type="character" w:customStyle="1" w:styleId="HeaderChar">
    <w:name w:val="Header Char"/>
    <w:basedOn w:val="DefaultParagraphFont"/>
    <w:link w:val="Header"/>
    <w:uiPriority w:val="99"/>
    <w:rsid w:val="00C97B1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97B16"/>
    <w:pPr>
      <w:tabs>
        <w:tab w:val="center" w:pos="4513"/>
        <w:tab w:val="right" w:pos="9026"/>
      </w:tabs>
    </w:pPr>
  </w:style>
  <w:style w:type="character" w:customStyle="1" w:styleId="FooterChar">
    <w:name w:val="Footer Char"/>
    <w:basedOn w:val="DefaultParagraphFont"/>
    <w:link w:val="Footer"/>
    <w:uiPriority w:val="99"/>
    <w:rsid w:val="00C97B1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E53175"/>
    <w:rPr>
      <w:rFonts w:asciiTheme="minorHAnsi" w:eastAsiaTheme="minorHAnsi" w:hAnsiTheme="minorHAnsi" w:cstheme="minorBidi"/>
      <w:szCs w:val="24"/>
      <w:lang w:val="en-GB"/>
    </w:rPr>
  </w:style>
  <w:style w:type="character" w:customStyle="1" w:styleId="FootnoteTextChar">
    <w:name w:val="Footnote Text Char"/>
    <w:basedOn w:val="DefaultParagraphFont"/>
    <w:link w:val="FootnoteText"/>
    <w:uiPriority w:val="99"/>
    <w:rsid w:val="00E53175"/>
    <w:rPr>
      <w:sz w:val="24"/>
      <w:szCs w:val="24"/>
      <w:lang w:val="en-GB"/>
    </w:rPr>
  </w:style>
  <w:style w:type="character" w:styleId="FootnoteReference">
    <w:name w:val="footnote reference"/>
    <w:basedOn w:val="DefaultParagraphFont"/>
    <w:uiPriority w:val="99"/>
    <w:unhideWhenUsed/>
    <w:rsid w:val="00E53175"/>
    <w:rPr>
      <w:vertAlign w:val="superscript"/>
    </w:rPr>
  </w:style>
  <w:style w:type="paragraph" w:styleId="Revision">
    <w:name w:val="Revision"/>
    <w:hidden/>
    <w:uiPriority w:val="99"/>
    <w:semiHidden/>
    <w:rsid w:val="00147B2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6741">
      <w:bodyDiv w:val="1"/>
      <w:marLeft w:val="0"/>
      <w:marRight w:val="0"/>
      <w:marTop w:val="0"/>
      <w:marBottom w:val="0"/>
      <w:divBdr>
        <w:top w:val="none" w:sz="0" w:space="0" w:color="auto"/>
        <w:left w:val="none" w:sz="0" w:space="0" w:color="auto"/>
        <w:bottom w:val="none" w:sz="0" w:space="0" w:color="auto"/>
        <w:right w:val="none" w:sz="0" w:space="0" w:color="auto"/>
      </w:divBdr>
      <w:divsChild>
        <w:div w:id="990328893">
          <w:marLeft w:val="547"/>
          <w:marRight w:val="0"/>
          <w:marTop w:val="101"/>
          <w:marBottom w:val="0"/>
          <w:divBdr>
            <w:top w:val="none" w:sz="0" w:space="0" w:color="auto"/>
            <w:left w:val="none" w:sz="0" w:space="0" w:color="auto"/>
            <w:bottom w:val="none" w:sz="0" w:space="0" w:color="auto"/>
            <w:right w:val="none" w:sz="0" w:space="0" w:color="auto"/>
          </w:divBdr>
        </w:div>
      </w:divsChild>
    </w:div>
    <w:div w:id="419374999">
      <w:bodyDiv w:val="1"/>
      <w:marLeft w:val="0"/>
      <w:marRight w:val="0"/>
      <w:marTop w:val="0"/>
      <w:marBottom w:val="0"/>
      <w:divBdr>
        <w:top w:val="none" w:sz="0" w:space="0" w:color="auto"/>
        <w:left w:val="none" w:sz="0" w:space="0" w:color="auto"/>
        <w:bottom w:val="none" w:sz="0" w:space="0" w:color="auto"/>
        <w:right w:val="none" w:sz="0" w:space="0" w:color="auto"/>
      </w:divBdr>
      <w:divsChild>
        <w:div w:id="1026826877">
          <w:marLeft w:val="1526"/>
          <w:marRight w:val="0"/>
          <w:marTop w:val="134"/>
          <w:marBottom w:val="0"/>
          <w:divBdr>
            <w:top w:val="none" w:sz="0" w:space="0" w:color="auto"/>
            <w:left w:val="none" w:sz="0" w:space="0" w:color="auto"/>
            <w:bottom w:val="none" w:sz="0" w:space="0" w:color="auto"/>
            <w:right w:val="none" w:sz="0" w:space="0" w:color="auto"/>
          </w:divBdr>
        </w:div>
        <w:div w:id="1987280422">
          <w:marLeft w:val="1526"/>
          <w:marRight w:val="0"/>
          <w:marTop w:val="134"/>
          <w:marBottom w:val="0"/>
          <w:divBdr>
            <w:top w:val="none" w:sz="0" w:space="0" w:color="auto"/>
            <w:left w:val="none" w:sz="0" w:space="0" w:color="auto"/>
            <w:bottom w:val="none" w:sz="0" w:space="0" w:color="auto"/>
            <w:right w:val="none" w:sz="0" w:space="0" w:color="auto"/>
          </w:divBdr>
        </w:div>
      </w:divsChild>
    </w:div>
    <w:div w:id="501625765">
      <w:bodyDiv w:val="1"/>
      <w:marLeft w:val="0"/>
      <w:marRight w:val="0"/>
      <w:marTop w:val="0"/>
      <w:marBottom w:val="0"/>
      <w:divBdr>
        <w:top w:val="none" w:sz="0" w:space="0" w:color="auto"/>
        <w:left w:val="none" w:sz="0" w:space="0" w:color="auto"/>
        <w:bottom w:val="none" w:sz="0" w:space="0" w:color="auto"/>
        <w:right w:val="none" w:sz="0" w:space="0" w:color="auto"/>
      </w:divBdr>
      <w:divsChild>
        <w:div w:id="1190603880">
          <w:marLeft w:val="547"/>
          <w:marRight w:val="0"/>
          <w:marTop w:val="101"/>
          <w:marBottom w:val="0"/>
          <w:divBdr>
            <w:top w:val="none" w:sz="0" w:space="0" w:color="auto"/>
            <w:left w:val="none" w:sz="0" w:space="0" w:color="auto"/>
            <w:bottom w:val="none" w:sz="0" w:space="0" w:color="auto"/>
            <w:right w:val="none" w:sz="0" w:space="0" w:color="auto"/>
          </w:divBdr>
        </w:div>
      </w:divsChild>
    </w:div>
    <w:div w:id="1105885077">
      <w:bodyDiv w:val="1"/>
      <w:marLeft w:val="0"/>
      <w:marRight w:val="0"/>
      <w:marTop w:val="0"/>
      <w:marBottom w:val="0"/>
      <w:divBdr>
        <w:top w:val="none" w:sz="0" w:space="0" w:color="auto"/>
        <w:left w:val="none" w:sz="0" w:space="0" w:color="auto"/>
        <w:bottom w:val="none" w:sz="0" w:space="0" w:color="auto"/>
        <w:right w:val="none" w:sz="0" w:space="0" w:color="auto"/>
      </w:divBdr>
      <w:divsChild>
        <w:div w:id="1779761383">
          <w:marLeft w:val="547"/>
          <w:marRight w:val="0"/>
          <w:marTop w:val="134"/>
          <w:marBottom w:val="120"/>
          <w:divBdr>
            <w:top w:val="none" w:sz="0" w:space="0" w:color="auto"/>
            <w:left w:val="none" w:sz="0" w:space="0" w:color="auto"/>
            <w:bottom w:val="none" w:sz="0" w:space="0" w:color="auto"/>
            <w:right w:val="none" w:sz="0" w:space="0" w:color="auto"/>
          </w:divBdr>
        </w:div>
        <w:div w:id="126093080">
          <w:marLeft w:val="547"/>
          <w:marRight w:val="0"/>
          <w:marTop w:val="134"/>
          <w:marBottom w:val="120"/>
          <w:divBdr>
            <w:top w:val="none" w:sz="0" w:space="0" w:color="auto"/>
            <w:left w:val="none" w:sz="0" w:space="0" w:color="auto"/>
            <w:bottom w:val="none" w:sz="0" w:space="0" w:color="auto"/>
            <w:right w:val="none" w:sz="0" w:space="0" w:color="auto"/>
          </w:divBdr>
        </w:div>
        <w:div w:id="1373653336">
          <w:marLeft w:val="547"/>
          <w:marRight w:val="0"/>
          <w:marTop w:val="134"/>
          <w:marBottom w:val="120"/>
          <w:divBdr>
            <w:top w:val="none" w:sz="0" w:space="0" w:color="auto"/>
            <w:left w:val="none" w:sz="0" w:space="0" w:color="auto"/>
            <w:bottom w:val="none" w:sz="0" w:space="0" w:color="auto"/>
            <w:right w:val="none" w:sz="0" w:space="0" w:color="auto"/>
          </w:divBdr>
        </w:div>
      </w:divsChild>
    </w:div>
    <w:div w:id="1860657841">
      <w:bodyDiv w:val="1"/>
      <w:marLeft w:val="0"/>
      <w:marRight w:val="0"/>
      <w:marTop w:val="0"/>
      <w:marBottom w:val="0"/>
      <w:divBdr>
        <w:top w:val="none" w:sz="0" w:space="0" w:color="auto"/>
        <w:left w:val="none" w:sz="0" w:space="0" w:color="auto"/>
        <w:bottom w:val="none" w:sz="0" w:space="0" w:color="auto"/>
        <w:right w:val="none" w:sz="0" w:space="0" w:color="auto"/>
      </w:divBdr>
    </w:div>
    <w:div w:id="19883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ldefense.proofpoint.com/v1/url?u=http://dx.doi.org/10.14507/epaa.v22n32.2014&amp;k=p4Ly7qpEBiYPBVenR9G2iQ%3D%3D%0A&amp;r=s3%2BTFzDE%2Fo13LGb3knuYMHCCZ8sCzd3xZfuoOT3xBbY%3D%0A&amp;m=KXufmc2LjPwCO1HVKc8lZFmciWOZoyuN%2BI1IG%2BoRJWw%3D%0A&amp;s=947cd392d0668ef0632bd17e5973c37c7b70fae5a69c692ca77c185eb47dac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UR</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Mary Jane</dc:creator>
  <cp:lastModifiedBy>Curry, MJ</cp:lastModifiedBy>
  <cp:revision>6</cp:revision>
  <dcterms:created xsi:type="dcterms:W3CDTF">2021-12-13T16:36:00Z</dcterms:created>
  <dcterms:modified xsi:type="dcterms:W3CDTF">2021-12-13T16:43:00Z</dcterms:modified>
</cp:coreProperties>
</file>